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wmf" ContentType="image/x-wmf"/>
  <Override PartName="/word/media/image3.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color w:val="002060"/>
          <w:sz w:val="32"/>
          <w:szCs w:val="32"/>
        </w:rPr>
      </w:pPr>
      <w:r>
        <w:rPr>
          <w:b/>
          <w:bCs/>
          <w:color w:val="002060"/>
          <w:sz w:val="32"/>
          <w:szCs w:val="32"/>
        </w:rPr>
      </w:r>
    </w:p>
    <w:p>
      <w:pPr>
        <w:pStyle w:val="Normal"/>
        <w:jc w:val="center"/>
        <w:rPr>
          <w:b/>
          <w:b/>
          <w:bCs/>
          <w:color w:val="002060"/>
          <w:sz w:val="32"/>
          <w:szCs w:val="32"/>
        </w:rPr>
      </w:pPr>
      <w:r>
        <w:rPr>
          <w:b/>
          <w:bCs/>
          <w:color w:val="002060"/>
          <w:sz w:val="32"/>
          <w:szCs w:val="32"/>
        </w:rPr>
      </w:r>
    </w:p>
    <w:p>
      <w:pPr>
        <w:pStyle w:val="Normal"/>
        <w:jc w:val="center"/>
        <w:rPr>
          <w:b/>
          <w:b/>
          <w:bCs/>
          <w:color w:val="002060"/>
          <w:sz w:val="32"/>
          <w:szCs w:val="32"/>
        </w:rPr>
      </w:pPr>
      <w:r>
        <w:rPr>
          <w:b/>
          <w:bCs/>
          <w:color w:val="002060"/>
          <w:sz w:val="32"/>
          <w:szCs w:val="32"/>
        </w:rPr>
      </w:r>
    </w:p>
    <w:p>
      <w:pPr>
        <w:pStyle w:val="Normal"/>
        <w:jc w:val="center"/>
        <w:rPr>
          <w:b/>
          <w:b/>
          <w:bCs/>
          <w:color w:val="FF0000"/>
          <w:sz w:val="32"/>
          <w:szCs w:val="32"/>
        </w:rPr>
      </w:pPr>
      <w:r>
        <w:rPr>
          <w:b/>
          <w:bCs/>
          <w:color w:val="002060"/>
          <w:sz w:val="32"/>
          <w:szCs w:val="32"/>
        </w:rPr>
        <w:t>Piano di campionamento per la verifica delle dichiarazioni sostitutive di cui al DPR 445/2000</w:t>
      </w:r>
    </w:p>
    <w:p>
      <w:pPr>
        <w:pStyle w:val="Normal"/>
        <w:jc w:val="center"/>
        <w:rPr>
          <w:rFonts w:ascii="Calibri" w:hAnsi="Calibri" w:eastAsia="Calibri" w:cs=""/>
          <w:b/>
          <w:b/>
          <w:bCs/>
          <w:color w:val="002060"/>
          <w:kern w:val="0"/>
          <w:sz w:val="32"/>
          <w:szCs w:val="32"/>
          <w:highlight w:val="yellow"/>
          <w:lang w:val="it-IT" w:eastAsia="en-US" w:bidi="ar-SA"/>
        </w:rPr>
      </w:pPr>
      <w:r>
        <w:rPr>
          <w:rFonts w:eastAsia="Calibri" w:cs=""/>
          <w:b/>
          <w:bCs/>
          <w:color w:val="002060"/>
          <w:kern w:val="0"/>
          <w:sz w:val="32"/>
          <w:szCs w:val="32"/>
          <w:highlight w:val="yellow"/>
          <w:lang w:val="it-IT" w:eastAsia="en-US" w:bidi="ar-SA"/>
        </w:rPr>
        <w:t>(UNI OLTRE 10 ITEMS)</w:t>
      </w:r>
    </w:p>
    <w:p>
      <w:pPr>
        <w:pStyle w:val="Normal"/>
        <w:jc w:val="center"/>
        <w:rPr>
          <w:b/>
          <w:b/>
          <w:bCs/>
          <w:color w:val="002060"/>
          <w:sz w:val="32"/>
          <w:szCs w:val="32"/>
        </w:rPr>
      </w:pPr>
      <w:r>
        <w:rPr>
          <w:b/>
          <w:bCs/>
          <w:color w:val="002060"/>
          <w:sz w:val="32"/>
          <w:szCs w:val="32"/>
        </w:rPr>
        <w:t>PON IOG - PAR SARDEGNA II FASE</w:t>
      </w:r>
    </w:p>
    <w:p>
      <w:pPr>
        <w:pStyle w:val="Normal"/>
        <w:jc w:val="center"/>
        <w:rPr>
          <w:b/>
          <w:b/>
          <w:bCs/>
          <w:color w:val="002060"/>
          <w:sz w:val="32"/>
          <w:szCs w:val="32"/>
        </w:rPr>
      </w:pPr>
      <w:r>
        <w:rPr>
          <w:b/>
          <w:bCs/>
          <w:color w:val="002060"/>
          <w:sz w:val="32"/>
          <w:szCs w:val="32"/>
        </w:rPr>
        <w:t>GARANZIA GIOVANI</w:t>
      </w:r>
    </w:p>
    <w:p>
      <w:pPr>
        <w:pStyle w:val="Normal"/>
        <w:jc w:val="center"/>
        <w:rPr>
          <w:b/>
          <w:b/>
          <w:bCs/>
          <w:color w:val="002060"/>
          <w:sz w:val="32"/>
          <w:szCs w:val="32"/>
        </w:rPr>
      </w:pPr>
      <w:r>
        <w:rPr>
          <w:b/>
          <w:bCs/>
          <w:color w:val="002060"/>
          <w:sz w:val="32"/>
          <w:szCs w:val="32"/>
        </w:rPr>
        <w:t xml:space="preserve">ASSE </w:t>
      </w:r>
      <w:r>
        <w:rPr>
          <w:b/>
          <w:bCs/>
          <w:color w:val="FF0000"/>
          <w:sz w:val="32"/>
          <w:szCs w:val="32"/>
        </w:rPr>
        <w:t>[Codice]</w:t>
      </w:r>
    </w:p>
    <w:p>
      <w:pPr>
        <w:pStyle w:val="Normal"/>
        <w:jc w:val="center"/>
        <w:rPr>
          <w:b/>
          <w:b/>
          <w:bCs/>
          <w:color w:val="FF0000"/>
          <w:sz w:val="32"/>
          <w:szCs w:val="32"/>
        </w:rPr>
      </w:pPr>
      <w:r>
        <w:rPr>
          <w:b/>
          <w:bCs/>
          <w:color w:val="002060"/>
          <w:sz w:val="32"/>
          <w:szCs w:val="32"/>
        </w:rPr>
        <w:t xml:space="preserve">Scheda Misura </w:t>
      </w:r>
      <w:r>
        <w:rPr>
          <w:b/>
          <w:bCs/>
          <w:color w:val="FF0000"/>
          <w:sz w:val="32"/>
          <w:szCs w:val="32"/>
        </w:rPr>
        <w:t>[Codice]</w:t>
      </w:r>
      <w:r>
        <w:rPr>
          <w:b/>
          <w:bCs/>
          <w:color w:val="002060"/>
          <w:sz w:val="32"/>
          <w:szCs w:val="32"/>
        </w:rPr>
        <w:t xml:space="preserve"> – </w:t>
      </w:r>
      <w:r>
        <w:rPr>
          <w:b/>
          <w:bCs/>
          <w:color w:val="FF0000"/>
          <w:sz w:val="32"/>
          <w:szCs w:val="32"/>
        </w:rPr>
        <w:t>[Denominazione]</w:t>
      </w:r>
    </w:p>
    <w:p>
      <w:pPr>
        <w:pStyle w:val="Normal"/>
        <w:jc w:val="center"/>
        <w:rPr>
          <w:b/>
          <w:b/>
          <w:bCs/>
          <w:color w:val="002060"/>
          <w:sz w:val="32"/>
          <w:szCs w:val="32"/>
        </w:rPr>
      </w:pPr>
      <w:r>
        <w:rPr>
          <w:b/>
          <w:bCs/>
          <w:color w:val="002060"/>
          <w:sz w:val="32"/>
          <w:szCs w:val="32"/>
        </w:rPr>
        <w:t xml:space="preserve">Responsabile di Scheda – </w:t>
      </w:r>
      <w:r>
        <w:rPr>
          <w:b/>
          <w:bCs/>
          <w:color w:val="FF0000"/>
          <w:sz w:val="32"/>
          <w:szCs w:val="32"/>
        </w:rPr>
        <w:t>[Denominazione]</w:t>
      </w:r>
    </w:p>
    <w:p>
      <w:pPr>
        <w:pStyle w:val="Normal"/>
        <w:jc w:val="center"/>
        <w:rPr>
          <w:b/>
          <w:b/>
          <w:bCs/>
          <w:color w:val="002060"/>
          <w:sz w:val="32"/>
          <w:szCs w:val="32"/>
        </w:rPr>
      </w:pPr>
      <w:r>
        <w:rPr>
          <w:b/>
          <w:bCs/>
          <w:color w:val="002060"/>
          <w:sz w:val="32"/>
          <w:szCs w:val="32"/>
        </w:rPr>
        <w:t xml:space="preserve">Avviso </w:t>
      </w:r>
      <w:r>
        <w:rPr>
          <w:b/>
          <w:bCs/>
          <w:color w:val="FF0000"/>
          <w:sz w:val="32"/>
          <w:szCs w:val="32"/>
        </w:rPr>
        <w:t>[</w:t>
      </w:r>
      <w:r>
        <w:rPr>
          <w:rFonts w:eastAsia="Calibri"/>
          <w:b/>
          <w:bCs/>
          <w:color w:val="FF0000"/>
          <w:sz w:val="32"/>
          <w:szCs w:val="32"/>
        </w:rPr>
        <w:t>XXXXXXXXXXXX]</w:t>
      </w:r>
      <w:r>
        <w:br w:type="page"/>
      </w:r>
    </w:p>
    <w:p>
      <w:pPr>
        <w:pStyle w:val="Normal"/>
        <w:jc w:val="center"/>
        <w:rPr>
          <w:b/>
          <w:b/>
          <w:bCs/>
          <w:color w:val="002060"/>
          <w:sz w:val="28"/>
          <w:szCs w:val="28"/>
        </w:rPr>
      </w:pPr>
      <w:r>
        <w:rPr>
          <w:b/>
          <w:bCs/>
          <w:color w:val="002060"/>
          <w:sz w:val="28"/>
          <w:szCs w:val="28"/>
        </w:rPr>
      </w:r>
    </w:p>
    <w:sdt>
      <w:sdtPr>
        <w:docPartObj>
          <w:docPartGallery w:val="Table of Contents"/>
          <w:docPartUnique w:val="true"/>
        </w:docPartObj>
        <w:id w:val="1153167191"/>
      </w:sdtPr>
      <w:sdtContent>
        <w:p>
          <w:pPr>
            <w:pStyle w:val="TOCHeading"/>
            <w:rPr>
              <w:rFonts w:ascii="Calibri" w:hAnsi="Calibri" w:asciiTheme="minorHAnsi" w:hAnsiTheme="minorHAnsi"/>
              <w:sz w:val="28"/>
            </w:rPr>
          </w:pPr>
          <w:r>
            <w:rPr>
              <w:rFonts w:asciiTheme="minorHAnsi" w:hAnsiTheme="minorHAnsi" w:ascii="Calibri" w:hAnsi="Calibri"/>
              <w:sz w:val="28"/>
            </w:rPr>
          </w:r>
        </w:p>
        <w:p>
          <w:pPr>
            <w:pStyle w:val="Indice1"/>
            <w:tabs>
              <w:tab w:val="clear" w:pos="720"/>
              <w:tab w:val="left" w:pos="440" w:leader="none"/>
              <w:tab w:val="right" w:pos="9628" w:leader="dot"/>
            </w:tabs>
            <w:rPr>
              <w:rFonts w:eastAsia="" w:eastAsiaTheme="minorEastAsia"/>
              <w:sz w:val="26"/>
              <w:szCs w:val="26"/>
              <w:lang w:eastAsia="it-IT"/>
            </w:rPr>
          </w:pPr>
          <w:r>
            <w:fldChar w:fldCharType="begin"/>
          </w:r>
          <w:r>
            <w:rPr>
              <w:webHidden/>
              <w:rStyle w:val="Saltoaindice"/>
              <w:sz w:val="26"/>
              <w:b/>
              <w:szCs w:val="26"/>
              <w:bCs/>
              <w:vanish w:val="false"/>
              <w:rFonts w:cs="Calibri"/>
            </w:rPr>
            <w:instrText> TOC \z \o "1-3" \u \h</w:instrText>
          </w:r>
          <w:r>
            <w:rPr>
              <w:webHidden/>
              <w:rStyle w:val="Saltoaindice"/>
              <w:sz w:val="26"/>
              <w:b/>
              <w:szCs w:val="26"/>
              <w:bCs/>
              <w:vanish w:val="false"/>
              <w:rFonts w:cs="Calibri"/>
            </w:rPr>
            <w:fldChar w:fldCharType="separate"/>
          </w:r>
          <w:hyperlink w:anchor="_Toc71532099">
            <w:r>
              <w:rPr>
                <w:webHidden/>
                <w:rStyle w:val="Saltoaindice"/>
                <w:rFonts w:cs="Calibri" w:cstheme="minorHAnsi"/>
                <w:b/>
                <w:bCs/>
                <w:vanish w:val="false"/>
                <w:sz w:val="26"/>
                <w:szCs w:val="26"/>
              </w:rPr>
              <w:t>1.</w:t>
            </w:r>
            <w:r>
              <w:rPr>
                <w:rStyle w:val="Saltoaindice"/>
                <w:rFonts w:eastAsia="" w:eastAsiaTheme="minorEastAsia"/>
                <w:sz w:val="26"/>
                <w:szCs w:val="26"/>
                <w:lang w:eastAsia="it-IT"/>
              </w:rPr>
              <w:tab/>
            </w:r>
            <w:r>
              <w:rPr>
                <w:rStyle w:val="Saltoaindice"/>
                <w:rFonts w:cs="Calibri" w:cstheme="minorHAnsi"/>
                <w:b/>
                <w:bCs/>
                <w:sz w:val="26"/>
                <w:szCs w:val="26"/>
              </w:rPr>
              <w:t>Premessa</w:t>
            </w:r>
            <w:r>
              <w:rPr>
                <w:webHidden/>
              </w:rPr>
              <w:fldChar w:fldCharType="begin"/>
            </w:r>
            <w:r>
              <w:rPr>
                <w:webHidden/>
              </w:rPr>
              <w:instrText>PAGEREF _Toc71532099 \h</w:instrText>
            </w:r>
            <w:r>
              <w:rPr>
                <w:webHidden/>
              </w:rPr>
              <w:fldChar w:fldCharType="separate"/>
            </w:r>
            <w:r>
              <w:rPr>
                <w:rStyle w:val="Saltoaindice"/>
                <w:sz w:val="26"/>
                <w:szCs w:val="26"/>
              </w:rPr>
              <w:tab/>
              <w:t>3</w:t>
            </w:r>
            <w:r>
              <w:rPr>
                <w:webHidden/>
              </w:rPr>
              <w:fldChar w:fldCharType="end"/>
            </w:r>
          </w:hyperlink>
        </w:p>
        <w:p>
          <w:pPr>
            <w:pStyle w:val="Indice1"/>
            <w:tabs>
              <w:tab w:val="clear" w:pos="720"/>
              <w:tab w:val="left" w:pos="440" w:leader="none"/>
              <w:tab w:val="right" w:pos="9628" w:leader="dot"/>
            </w:tabs>
            <w:rPr>
              <w:rFonts w:eastAsia="" w:eastAsiaTheme="minorEastAsia"/>
              <w:sz w:val="26"/>
              <w:szCs w:val="26"/>
              <w:lang w:eastAsia="it-IT"/>
            </w:rPr>
          </w:pPr>
          <w:hyperlink w:anchor="_Toc71532100">
            <w:r>
              <w:rPr>
                <w:webHidden/>
                <w:rStyle w:val="Saltoaindice"/>
                <w:rFonts w:cs="Calibri" w:cstheme="minorHAnsi"/>
                <w:b/>
                <w:bCs/>
                <w:vanish w:val="false"/>
                <w:sz w:val="26"/>
                <w:szCs w:val="26"/>
              </w:rPr>
              <w:t>2.</w:t>
            </w:r>
            <w:r>
              <w:rPr>
                <w:rStyle w:val="Saltoaindice"/>
                <w:rFonts w:eastAsia="" w:eastAsiaTheme="minorEastAsia"/>
                <w:sz w:val="26"/>
                <w:szCs w:val="26"/>
                <w:lang w:eastAsia="it-IT"/>
              </w:rPr>
              <w:tab/>
            </w:r>
            <w:r>
              <w:rPr>
                <w:rStyle w:val="Saltoaindice"/>
                <w:rFonts w:cs="Calibri" w:cstheme="minorHAnsi"/>
                <w:b/>
                <w:bCs/>
                <w:sz w:val="26"/>
                <w:szCs w:val="26"/>
              </w:rPr>
              <w:t>Normativa di riferimento</w:t>
            </w:r>
            <w:r>
              <w:rPr>
                <w:webHidden/>
              </w:rPr>
              <w:fldChar w:fldCharType="begin"/>
            </w:r>
            <w:r>
              <w:rPr>
                <w:webHidden/>
              </w:rPr>
              <w:instrText>PAGEREF _Toc71532100 \h</w:instrText>
            </w:r>
            <w:r>
              <w:rPr>
                <w:webHidden/>
              </w:rPr>
              <w:fldChar w:fldCharType="separate"/>
            </w:r>
            <w:r>
              <w:rPr>
                <w:rStyle w:val="Saltoaindice"/>
                <w:sz w:val="26"/>
                <w:szCs w:val="26"/>
              </w:rPr>
              <w:tab/>
              <w:t>3</w:t>
            </w:r>
            <w:r>
              <w:rPr>
                <w:webHidden/>
              </w:rPr>
              <w:fldChar w:fldCharType="end"/>
            </w:r>
          </w:hyperlink>
        </w:p>
        <w:p>
          <w:pPr>
            <w:pStyle w:val="Indice1"/>
            <w:tabs>
              <w:tab w:val="clear" w:pos="720"/>
              <w:tab w:val="left" w:pos="440" w:leader="none"/>
              <w:tab w:val="right" w:pos="9628" w:leader="dot"/>
            </w:tabs>
            <w:rPr>
              <w:rFonts w:eastAsia="" w:eastAsiaTheme="minorEastAsia"/>
              <w:sz w:val="26"/>
              <w:szCs w:val="26"/>
              <w:lang w:eastAsia="it-IT"/>
            </w:rPr>
          </w:pPr>
          <w:hyperlink w:anchor="_Toc71532101">
            <w:r>
              <w:rPr>
                <w:webHidden/>
                <w:rStyle w:val="Saltoaindice"/>
                <w:rFonts w:cs="Calibri" w:cstheme="minorHAnsi"/>
                <w:b/>
                <w:bCs/>
                <w:vanish w:val="false"/>
                <w:sz w:val="26"/>
                <w:szCs w:val="26"/>
              </w:rPr>
              <w:t>3.</w:t>
            </w:r>
            <w:r>
              <w:rPr>
                <w:rStyle w:val="Saltoaindice"/>
                <w:rFonts w:eastAsia="" w:eastAsiaTheme="minorEastAsia"/>
                <w:sz w:val="26"/>
                <w:szCs w:val="26"/>
                <w:lang w:eastAsia="it-IT"/>
              </w:rPr>
              <w:tab/>
            </w:r>
            <w:r>
              <w:rPr>
                <w:rStyle w:val="Saltoaindice"/>
                <w:rFonts w:cs="Calibri" w:cstheme="minorHAnsi"/>
                <w:b/>
                <w:bCs/>
                <w:sz w:val="26"/>
                <w:szCs w:val="26"/>
              </w:rPr>
              <w:t>Misure adottate</w:t>
            </w:r>
            <w:r>
              <w:rPr>
                <w:webHidden/>
              </w:rPr>
              <w:fldChar w:fldCharType="begin"/>
            </w:r>
            <w:r>
              <w:rPr>
                <w:webHidden/>
              </w:rPr>
              <w:instrText>PAGEREF _Toc71532101 \h</w:instrText>
            </w:r>
            <w:r>
              <w:rPr>
                <w:webHidden/>
              </w:rPr>
              <w:fldChar w:fldCharType="separate"/>
            </w:r>
            <w:r>
              <w:rPr>
                <w:rStyle w:val="Saltoaindice"/>
                <w:sz w:val="26"/>
                <w:szCs w:val="26"/>
              </w:rPr>
              <w:tab/>
              <w:t>4</w:t>
            </w:r>
            <w:r>
              <w:rPr>
                <w:webHidden/>
              </w:rPr>
              <w:fldChar w:fldCharType="end"/>
            </w:r>
          </w:hyperlink>
        </w:p>
        <w:p>
          <w:pPr>
            <w:pStyle w:val="Indice1"/>
            <w:tabs>
              <w:tab w:val="clear" w:pos="720"/>
              <w:tab w:val="left" w:pos="440" w:leader="none"/>
              <w:tab w:val="right" w:pos="9628" w:leader="dot"/>
            </w:tabs>
            <w:rPr>
              <w:rFonts w:eastAsia="" w:eastAsiaTheme="minorEastAsia"/>
              <w:sz w:val="26"/>
              <w:szCs w:val="26"/>
              <w:lang w:eastAsia="it-IT"/>
            </w:rPr>
          </w:pPr>
          <w:hyperlink w:anchor="_Toc71532102">
            <w:r>
              <w:rPr>
                <w:webHidden/>
                <w:rStyle w:val="Saltoaindice"/>
                <w:rFonts w:cs="Calibri" w:cstheme="minorHAnsi"/>
                <w:b/>
                <w:bCs/>
                <w:vanish w:val="false"/>
                <w:sz w:val="26"/>
                <w:szCs w:val="26"/>
              </w:rPr>
              <w:t>4.</w:t>
            </w:r>
            <w:r>
              <w:rPr>
                <w:rStyle w:val="Saltoaindice"/>
                <w:rFonts w:eastAsia="" w:eastAsiaTheme="minorEastAsia"/>
                <w:sz w:val="26"/>
                <w:szCs w:val="26"/>
                <w:lang w:eastAsia="it-IT"/>
              </w:rPr>
              <w:tab/>
            </w:r>
            <w:r>
              <w:rPr>
                <w:rStyle w:val="Saltoaindice"/>
                <w:rFonts w:cs="Calibri" w:cstheme="minorHAnsi"/>
                <w:b/>
                <w:bCs/>
                <w:sz w:val="26"/>
                <w:szCs w:val="26"/>
              </w:rPr>
              <w:t>Metodologia di campionamento delle Dichiarazioni sostitutive ai sensi del DPR 445/2000 e relativi strumenti operativi</w:t>
            </w:r>
            <w:r>
              <w:rPr>
                <w:webHidden/>
              </w:rPr>
              <w:fldChar w:fldCharType="begin"/>
            </w:r>
            <w:r>
              <w:rPr>
                <w:webHidden/>
              </w:rPr>
              <w:instrText>PAGEREF _Toc71532102 \h</w:instrText>
            </w:r>
            <w:r>
              <w:rPr>
                <w:webHidden/>
              </w:rPr>
              <w:fldChar w:fldCharType="separate"/>
            </w:r>
            <w:r>
              <w:rPr>
                <w:rStyle w:val="Saltoaindice"/>
                <w:sz w:val="26"/>
                <w:szCs w:val="26"/>
              </w:rPr>
              <w:tab/>
              <w:t>5</w:t>
            </w:r>
            <w:r>
              <w:rPr>
                <w:webHidden/>
              </w:rPr>
              <w:fldChar w:fldCharType="end"/>
            </w:r>
          </w:hyperlink>
        </w:p>
        <w:p>
          <w:pPr>
            <w:pStyle w:val="Indice1"/>
            <w:tabs>
              <w:tab w:val="clear" w:pos="720"/>
              <w:tab w:val="left" w:pos="440" w:leader="none"/>
              <w:tab w:val="right" w:pos="9628" w:leader="dot"/>
            </w:tabs>
            <w:rPr>
              <w:rFonts w:eastAsia="" w:eastAsiaTheme="minorEastAsia"/>
              <w:sz w:val="26"/>
              <w:szCs w:val="26"/>
              <w:lang w:eastAsia="it-IT"/>
            </w:rPr>
          </w:pPr>
          <w:hyperlink w:anchor="_Toc71532103">
            <w:r>
              <w:rPr>
                <w:webHidden/>
                <w:rStyle w:val="Saltoaindice"/>
                <w:rFonts w:cs="Calibri" w:cstheme="minorHAnsi"/>
                <w:b/>
                <w:bCs/>
                <w:vanish w:val="false"/>
                <w:sz w:val="26"/>
                <w:szCs w:val="26"/>
              </w:rPr>
              <w:t>5.</w:t>
            </w:r>
            <w:r>
              <w:rPr>
                <w:rStyle w:val="Saltoaindice"/>
                <w:rFonts w:eastAsia="" w:eastAsiaTheme="minorEastAsia"/>
                <w:sz w:val="26"/>
                <w:szCs w:val="26"/>
                <w:lang w:eastAsia="it-IT"/>
              </w:rPr>
              <w:tab/>
            </w:r>
            <w:r>
              <w:rPr>
                <w:rStyle w:val="Saltoaindice"/>
                <w:rFonts w:cs="Calibri" w:cstheme="minorHAnsi"/>
                <w:b/>
                <w:bCs/>
                <w:sz w:val="26"/>
                <w:szCs w:val="26"/>
              </w:rPr>
              <w:t>Mezzi istruttori e modalità di svolgimento delle verifiche</w:t>
            </w:r>
            <w:r>
              <w:rPr>
                <w:webHidden/>
              </w:rPr>
              <w:fldChar w:fldCharType="begin"/>
            </w:r>
            <w:r>
              <w:rPr>
                <w:webHidden/>
              </w:rPr>
              <w:instrText>PAGEREF _Toc71532103 \h</w:instrText>
            </w:r>
            <w:r>
              <w:rPr>
                <w:webHidden/>
              </w:rPr>
              <w:fldChar w:fldCharType="separate"/>
            </w:r>
            <w:r>
              <w:rPr>
                <w:rStyle w:val="Saltoaindice"/>
                <w:sz w:val="26"/>
                <w:szCs w:val="26"/>
              </w:rPr>
              <w:tab/>
              <w:t>8</w:t>
            </w:r>
            <w:r>
              <w:rPr>
                <w:webHidden/>
              </w:rPr>
              <w:fldChar w:fldCharType="end"/>
            </w:r>
          </w:hyperlink>
        </w:p>
        <w:p>
          <w:pPr>
            <w:pStyle w:val="Indice1"/>
            <w:tabs>
              <w:tab w:val="clear" w:pos="720"/>
              <w:tab w:val="left" w:pos="440" w:leader="none"/>
              <w:tab w:val="right" w:pos="9628" w:leader="dot"/>
            </w:tabs>
            <w:rPr>
              <w:rFonts w:eastAsia="" w:eastAsiaTheme="minorEastAsia"/>
              <w:sz w:val="26"/>
              <w:szCs w:val="26"/>
              <w:lang w:eastAsia="it-IT"/>
            </w:rPr>
          </w:pPr>
          <w:hyperlink w:anchor="_Toc71532104">
            <w:r>
              <w:rPr>
                <w:webHidden/>
                <w:rStyle w:val="Saltoaindice"/>
                <w:rFonts w:cs="Calibri" w:cstheme="minorHAnsi"/>
                <w:b/>
                <w:bCs/>
                <w:vanish w:val="false"/>
                <w:sz w:val="26"/>
                <w:szCs w:val="26"/>
              </w:rPr>
              <w:t>6.</w:t>
            </w:r>
            <w:r>
              <w:rPr>
                <w:rStyle w:val="Saltoaindice"/>
                <w:rFonts w:eastAsia="" w:eastAsiaTheme="minorEastAsia"/>
                <w:sz w:val="26"/>
                <w:szCs w:val="26"/>
                <w:lang w:eastAsia="it-IT"/>
              </w:rPr>
              <w:tab/>
            </w:r>
            <w:r>
              <w:rPr>
                <w:rStyle w:val="Saltoaindice"/>
                <w:rFonts w:cs="Calibri" w:cstheme="minorHAnsi"/>
                <w:b/>
                <w:bCs/>
                <w:sz w:val="26"/>
                <w:szCs w:val="26"/>
              </w:rPr>
              <w:t>Provvedimenti conseguenti alla rilevazione di omissioni e/o imprecisioni, non costituenti falsità, o di false dichiarazioni</w:t>
            </w:r>
            <w:r>
              <w:rPr>
                <w:webHidden/>
              </w:rPr>
              <w:fldChar w:fldCharType="begin"/>
            </w:r>
            <w:r>
              <w:rPr>
                <w:webHidden/>
              </w:rPr>
              <w:instrText>PAGEREF _Toc71532104 \h</w:instrText>
            </w:r>
            <w:r>
              <w:rPr>
                <w:webHidden/>
              </w:rPr>
              <w:fldChar w:fldCharType="separate"/>
            </w:r>
            <w:r>
              <w:rPr>
                <w:rStyle w:val="Saltoaindice"/>
                <w:sz w:val="26"/>
                <w:szCs w:val="26"/>
              </w:rPr>
              <w:tab/>
              <w:t>8</w:t>
            </w:r>
            <w:r>
              <w:rPr>
                <w:webHidden/>
              </w:rPr>
              <w:fldChar w:fldCharType="end"/>
            </w:r>
          </w:hyperlink>
          <w:r>
            <w:rPr>
              <w:rStyle w:val="Saltoaindice"/>
              <w:sz w:val="26"/>
              <w:szCs w:val="26"/>
            </w:rPr>
            <w:fldChar w:fldCharType="end"/>
          </w:r>
        </w:p>
      </w:sdtContent>
    </w:sdt>
    <w:p>
      <w:pPr>
        <w:pStyle w:val="Normal"/>
        <w:rPr>
          <w:sz w:val="26"/>
          <w:szCs w:val="26"/>
        </w:rPr>
      </w:pPr>
      <w:r>
        <w:rPr>
          <w:sz w:val="26"/>
          <w:szCs w:val="26"/>
        </w:rPr>
      </w:r>
    </w:p>
    <w:p>
      <w:pPr>
        <w:pStyle w:val="Normal"/>
        <w:spacing w:lineRule="auto" w:line="240"/>
        <w:rPr/>
      </w:pPr>
      <w:r>
        <w:rPr/>
      </w:r>
    </w:p>
    <w:p>
      <w:pPr>
        <w:pStyle w:val="Normal"/>
        <w:rPr>
          <w:color w:val="002060"/>
        </w:rPr>
      </w:pPr>
      <w:r>
        <w:rPr>
          <w:color w:val="002060"/>
        </w:rPr>
        <w:t>Allegati</w:t>
      </w:r>
    </w:p>
    <w:p>
      <w:pPr>
        <w:pStyle w:val="Normal"/>
        <w:spacing w:lineRule="auto" w:line="240"/>
        <w:rPr/>
      </w:pPr>
      <w:r>
        <w:rPr/>
        <w:t>Allegato 1_ Checklist di verifica delle dichiarazioni sostitutive DPR 445/2000</w:t>
      </w:r>
    </w:p>
    <w:p>
      <w:pPr>
        <w:pStyle w:val="Normal"/>
        <w:spacing w:lineRule="auto" w:line="240"/>
        <w:rPr/>
      </w:pPr>
      <w:r>
        <w:rPr/>
        <w:t xml:space="preserve">Allegato 5_Verbale di campionamento e relativo Allegato 4 costituito dalla stampa in PDF dei fogli di lavoro costituenti il “File campionamento” </w:t>
      </w:r>
    </w:p>
    <w:p>
      <w:pPr>
        <w:pStyle w:val="Normal"/>
        <w:spacing w:lineRule="auto" w:line="240"/>
        <w:rPr/>
      </w:pPr>
      <w:r>
        <w:rPr/>
      </w:r>
    </w:p>
    <w:p>
      <w:pPr>
        <w:pStyle w:val="Normal"/>
        <w:rPr>
          <w:b/>
          <w:b/>
          <w:bCs/>
          <w:color w:val="002060"/>
          <w:sz w:val="24"/>
          <w:szCs w:val="24"/>
        </w:rPr>
      </w:pPr>
      <w:r>
        <w:rPr>
          <w:b/>
          <w:bCs/>
          <w:color w:val="002060"/>
          <w:sz w:val="24"/>
          <w:szCs w:val="24"/>
        </w:rPr>
      </w:r>
      <w:r>
        <w:br w:type="page"/>
      </w:r>
    </w:p>
    <w:p>
      <w:pPr>
        <w:pStyle w:val="Titolo1"/>
        <w:numPr>
          <w:ilvl w:val="0"/>
          <w:numId w:val="1"/>
        </w:numPr>
        <w:ind w:left="426" w:hanging="360"/>
        <w:jc w:val="both"/>
        <w:rPr>
          <w:rFonts w:ascii="Calibri" w:hAnsi="Calibri" w:cs="Calibri" w:asciiTheme="minorHAnsi" w:cstheme="minorHAnsi" w:hAnsiTheme="minorHAnsi"/>
          <w:b/>
          <w:b/>
          <w:bCs/>
          <w:sz w:val="26"/>
          <w:szCs w:val="26"/>
        </w:rPr>
      </w:pPr>
      <w:bookmarkStart w:id="0" w:name="_Toc71532099"/>
      <w:r>
        <w:rPr>
          <w:rFonts w:cs="Calibri" w:ascii="Calibri" w:hAnsi="Calibri" w:asciiTheme="minorHAnsi" w:cstheme="minorHAnsi" w:hAnsiTheme="minorHAnsi"/>
          <w:b/>
          <w:bCs/>
          <w:sz w:val="26"/>
          <w:szCs w:val="26"/>
        </w:rPr>
        <w:t>Premessa</w:t>
      </w:r>
      <w:bookmarkEnd w:id="0"/>
    </w:p>
    <w:p>
      <w:pPr>
        <w:pStyle w:val="Normal"/>
        <w:spacing w:before="0" w:after="0"/>
        <w:jc w:val="both"/>
        <w:rPr>
          <w:rFonts w:cs="Calibri" w:cstheme="minorHAnsi"/>
          <w:b/>
          <w:b/>
          <w:i/>
          <w:i/>
          <w:sz w:val="24"/>
          <w:szCs w:val="24"/>
          <w:u w:val="single"/>
        </w:rPr>
      </w:pPr>
      <w:r>
        <w:rPr>
          <w:rFonts w:cs="Calibri" w:cstheme="minorHAnsi"/>
          <w:b/>
          <w:i/>
          <w:sz w:val="24"/>
          <w:szCs w:val="24"/>
          <w:u w:val="single"/>
        </w:rPr>
      </w:r>
    </w:p>
    <w:p>
      <w:pPr>
        <w:pStyle w:val="Normal"/>
        <w:spacing w:before="0" w:after="0"/>
        <w:jc w:val="both"/>
        <w:rPr>
          <w:rFonts w:cs="Calibri" w:cstheme="minorHAnsi"/>
          <w:sz w:val="24"/>
          <w:szCs w:val="24"/>
          <w:highlight w:val="white"/>
        </w:rPr>
      </w:pPr>
      <w:r>
        <w:rPr>
          <w:rFonts w:cs="Calibri" w:cstheme="minorHAnsi"/>
          <w:bCs/>
          <w:iCs/>
          <w:sz w:val="24"/>
          <w:szCs w:val="24"/>
        </w:rPr>
        <w:t xml:space="preserve">Nel presente Piano si intendono descrivere le modalità di campionamento e la metodologia di verifica da utilizzare per il controllo a campione delle </w:t>
      </w:r>
      <w:bookmarkStart w:id="1" w:name="_Hlk64454668"/>
      <w:r>
        <w:rPr>
          <w:rStyle w:val="Enfasi"/>
          <w:rFonts w:cs="Calibri" w:cstheme="minorHAnsi"/>
          <w:i w:val="false"/>
          <w:sz w:val="24"/>
          <w:szCs w:val="24"/>
          <w:shd w:fill="FFFFFF" w:val="clear"/>
        </w:rPr>
        <w:t xml:space="preserve">dichiarazioni sostitutive ai sensi del DPR 445/20 </w:t>
      </w:r>
      <w:bookmarkEnd w:id="1"/>
      <w:r>
        <w:rPr>
          <w:rStyle w:val="Enfasi"/>
          <w:rFonts w:cs="Calibri" w:cstheme="minorHAnsi"/>
          <w:i w:val="false"/>
          <w:sz w:val="24"/>
          <w:szCs w:val="24"/>
          <w:shd w:fill="FFFFFF" w:val="clear"/>
        </w:rPr>
        <w:t xml:space="preserve">e ss.mm.ii, presentate dai </w:t>
      </w:r>
      <w:r>
        <w:rPr>
          <w:rStyle w:val="Enfasi"/>
          <w:rFonts w:eastAsia="Calibri" w:cs="Calibri" w:cstheme="minorHAnsi"/>
          <w:i w:val="false"/>
          <w:color w:val="000000"/>
          <w:sz w:val="24"/>
          <w:szCs w:val="24"/>
          <w:shd w:fill="FFFFFF" w:val="clear"/>
        </w:rPr>
        <w:t>destinatari</w:t>
      </w:r>
      <w:r>
        <w:rPr>
          <w:rStyle w:val="Enfasi"/>
          <w:rFonts w:cs="Calibri" w:cstheme="minorHAnsi"/>
          <w:i w:val="false"/>
          <w:sz w:val="24"/>
          <w:szCs w:val="24"/>
          <w:shd w:fill="FFFFFF" w:val="clear"/>
        </w:rPr>
        <w:t>, a valere sull’Avviso</w:t>
      </w:r>
      <w:r>
        <w:rPr>
          <w:rFonts w:cs="Calibri" w:cstheme="minorHAnsi"/>
          <w:bCs/>
          <w:iCs/>
          <w:sz w:val="24"/>
          <w:szCs w:val="24"/>
        </w:rPr>
        <w:t xml:space="preserve"> </w:t>
      </w:r>
      <w:r>
        <w:rPr>
          <w:b/>
          <w:bCs/>
          <w:color w:val="FF0000"/>
          <w:sz w:val="24"/>
          <w:szCs w:val="24"/>
        </w:rPr>
        <w:t>[Denominazione]</w:t>
      </w:r>
      <w:r>
        <w:rPr>
          <w:rFonts w:eastAsia="Calibri" w:cs="Calibri" w:cstheme="minorHAnsi"/>
          <w:bCs/>
          <w:iCs/>
          <w:sz w:val="24"/>
          <w:szCs w:val="24"/>
        </w:rPr>
        <w:t>, appro</w:t>
      </w:r>
      <w:r>
        <w:rPr>
          <w:rFonts w:cs="Calibri" w:cstheme="minorHAnsi"/>
          <w:bCs/>
          <w:iCs/>
          <w:sz w:val="24"/>
          <w:szCs w:val="24"/>
        </w:rPr>
        <w:t xml:space="preserve">vato con Determinazione n. </w:t>
      </w:r>
      <w:r>
        <w:rPr>
          <w:rFonts w:cs="Calibri" w:cstheme="minorHAnsi"/>
          <w:bCs/>
          <w:iCs/>
          <w:color w:val="FF0000"/>
          <w:sz w:val="24"/>
          <w:szCs w:val="24"/>
        </w:rPr>
        <w:t xml:space="preserve">[XXXX] </w:t>
      </w:r>
      <w:r>
        <w:rPr>
          <w:rFonts w:cs="Calibri" w:cstheme="minorHAnsi"/>
          <w:bCs/>
          <w:iCs/>
          <w:sz w:val="24"/>
          <w:szCs w:val="24"/>
        </w:rPr>
        <w:t xml:space="preserve">Prot. n. </w:t>
      </w:r>
      <w:r>
        <w:rPr>
          <w:rFonts w:cs="Calibri" w:cstheme="minorHAnsi"/>
          <w:bCs/>
          <w:iCs/>
          <w:color w:val="FF0000"/>
          <w:sz w:val="24"/>
          <w:szCs w:val="24"/>
        </w:rPr>
        <w:t xml:space="preserve">[XXXX] </w:t>
      </w:r>
      <w:r>
        <w:rPr>
          <w:rFonts w:cs="Calibri" w:cstheme="minorHAnsi"/>
          <w:bCs/>
          <w:iCs/>
          <w:sz w:val="24"/>
          <w:szCs w:val="24"/>
        </w:rPr>
        <w:t xml:space="preserve">del </w:t>
      </w:r>
      <w:bookmarkStart w:id="2" w:name="_Hlk65234565"/>
      <w:bookmarkEnd w:id="2"/>
      <w:r>
        <w:rPr>
          <w:rFonts w:cs="Calibri" w:cstheme="minorHAnsi"/>
          <w:bCs/>
          <w:iCs/>
          <w:color w:val="FF0000"/>
          <w:sz w:val="24"/>
          <w:szCs w:val="24"/>
        </w:rPr>
        <w:t>[XX.XX.XXXX]</w:t>
      </w:r>
      <w:r>
        <w:rPr>
          <w:rStyle w:val="Enfasi"/>
          <w:rFonts w:cs="Calibri" w:cstheme="minorHAnsi"/>
          <w:i w:val="false"/>
          <w:sz w:val="24"/>
          <w:szCs w:val="24"/>
          <w:shd w:fill="FFFFFF" w:val="clear"/>
        </w:rPr>
        <w:t>.</w:t>
      </w:r>
    </w:p>
    <w:p>
      <w:pPr>
        <w:pStyle w:val="Normal"/>
        <w:spacing w:before="0" w:after="0"/>
        <w:jc w:val="both"/>
        <w:rPr>
          <w:rStyle w:val="Enfasi"/>
          <w:rFonts w:cs="Calibri" w:cstheme="minorHAnsi"/>
          <w:i w:val="false"/>
          <w:i w:val="false"/>
          <w:sz w:val="24"/>
          <w:szCs w:val="24"/>
          <w:highlight w:val="white"/>
        </w:rPr>
      </w:pPr>
      <w:r>
        <w:rPr>
          <w:rFonts w:cs="Calibri" w:cstheme="minorHAnsi"/>
          <w:i w:val="false"/>
          <w:sz w:val="24"/>
          <w:szCs w:val="24"/>
          <w:highlight w:val="white"/>
        </w:rPr>
      </w:r>
    </w:p>
    <w:p>
      <w:pPr>
        <w:pStyle w:val="Normal"/>
        <w:spacing w:before="0" w:after="0"/>
        <w:jc w:val="both"/>
        <w:rPr>
          <w:rStyle w:val="Enfasi"/>
          <w:rFonts w:cs="Calibri" w:cstheme="minorHAnsi"/>
          <w:i w:val="false"/>
          <w:i w:val="false"/>
          <w:sz w:val="24"/>
          <w:szCs w:val="24"/>
          <w:highlight w:val="white"/>
        </w:rPr>
      </w:pPr>
      <w:r>
        <w:rPr>
          <w:rStyle w:val="Enfasi"/>
          <w:rFonts w:cs="Calibri" w:cstheme="minorHAnsi"/>
          <w:i w:val="false"/>
          <w:sz w:val="24"/>
          <w:szCs w:val="24"/>
          <w:shd w:fill="FFFFFF" w:val="clear"/>
        </w:rPr>
        <w:t xml:space="preserve">I potenziali beneficiari, come previsto dall’art. </w:t>
      </w:r>
      <w:r>
        <w:rPr>
          <w:rFonts w:cs="Calibri" w:cstheme="minorHAnsi"/>
          <w:bCs/>
          <w:iCs/>
          <w:color w:val="FF0000"/>
          <w:sz w:val="24"/>
          <w:szCs w:val="24"/>
        </w:rPr>
        <w:t xml:space="preserve">[XXXX] </w:t>
      </w:r>
      <w:r>
        <w:rPr>
          <w:rStyle w:val="Enfasi"/>
          <w:rFonts w:cs="Calibri" w:cstheme="minorHAnsi"/>
          <w:i w:val="false"/>
          <w:sz w:val="24"/>
          <w:szCs w:val="24"/>
          <w:shd w:fill="FFFFFF" w:val="clear"/>
        </w:rPr>
        <w:t>dell’Avviso, sono costituiti da</w:t>
      </w:r>
      <w:r>
        <w:rPr>
          <w:rStyle w:val="Enfasi"/>
          <w:rFonts w:cs="Calibri" w:cstheme="minorHAnsi"/>
          <w:bCs/>
          <w:i w:val="false"/>
          <w:sz w:val="24"/>
          <w:szCs w:val="24"/>
        </w:rPr>
        <w:t xml:space="preserve"> </w:t>
      </w:r>
      <w:r>
        <w:rPr>
          <w:rFonts w:cs="Calibri" w:cstheme="minorHAnsi"/>
          <w:bCs/>
          <w:iCs/>
          <w:color w:val="FF0000"/>
          <w:sz w:val="24"/>
          <w:szCs w:val="24"/>
        </w:rPr>
        <w:t>[indicare i beneficiari e, se del caso, indicare i destinatari]</w:t>
      </w:r>
      <w:r>
        <w:rPr>
          <w:rStyle w:val="Enfasi"/>
          <w:rFonts w:cs="Calibri" w:cstheme="minorHAnsi"/>
          <w:i w:val="false"/>
          <w:sz w:val="24"/>
          <w:szCs w:val="24"/>
          <w:shd w:fill="FFFFFF" w:val="clear"/>
        </w:rPr>
        <w:t>.</w:t>
      </w:r>
    </w:p>
    <w:p>
      <w:pPr>
        <w:pStyle w:val="Normal"/>
        <w:spacing w:before="0" w:after="0"/>
        <w:jc w:val="both"/>
        <w:rPr>
          <w:rFonts w:cs="Calibri" w:cstheme="minorHAnsi"/>
          <w:sz w:val="24"/>
          <w:szCs w:val="24"/>
          <w:highlight w:val="white"/>
        </w:rPr>
      </w:pPr>
      <w:r>
        <w:rPr>
          <w:rFonts w:cs="Calibri" w:cstheme="minorHAnsi"/>
          <w:sz w:val="24"/>
          <w:szCs w:val="24"/>
          <w:highlight w:val="white"/>
        </w:rPr>
      </w:r>
    </w:p>
    <w:p>
      <w:pPr>
        <w:pStyle w:val="Normal"/>
        <w:spacing w:before="0" w:after="0"/>
        <w:jc w:val="both"/>
        <w:rPr>
          <w:rFonts w:cs="Calibri" w:cstheme="minorHAnsi"/>
          <w:bCs/>
          <w:iCs/>
          <w:color w:val="FF0000"/>
          <w:sz w:val="24"/>
          <w:szCs w:val="24"/>
        </w:rPr>
      </w:pPr>
      <w:r>
        <w:rPr>
          <w:rFonts w:cs="Calibri" w:cstheme="minorHAnsi"/>
          <w:bCs/>
          <w:iCs/>
          <w:sz w:val="24"/>
          <w:szCs w:val="24"/>
        </w:rPr>
        <w:t xml:space="preserve">Tali soggetti presentano </w:t>
      </w:r>
      <w:r>
        <w:rPr>
          <w:rFonts w:cs="Calibri" w:cstheme="minorHAnsi"/>
          <w:bCs/>
          <w:iCs/>
          <w:color w:val="FF0000"/>
          <w:sz w:val="24"/>
          <w:szCs w:val="24"/>
        </w:rPr>
        <w:t>[indicare</w:t>
      </w:r>
      <w:r>
        <w:rPr>
          <w:rFonts w:cs="Calibri" w:cstheme="minorHAnsi"/>
          <w:b/>
          <w:iCs/>
          <w:color w:val="FF0000"/>
          <w:sz w:val="24"/>
          <w:szCs w:val="24"/>
        </w:rPr>
        <w:t xml:space="preserve"> </w:t>
      </w:r>
      <w:r>
        <w:rPr>
          <w:rFonts w:cs="Calibri" w:cstheme="minorHAnsi"/>
          <w:bCs/>
          <w:iCs/>
          <w:color w:val="FF0000"/>
          <w:sz w:val="24"/>
          <w:szCs w:val="24"/>
          <w:u w:val="single"/>
        </w:rPr>
        <w:t>alternativamente</w:t>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t>un’unica autocertificazione</w:t>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r>
    </w:p>
    <w:p>
      <w:pPr>
        <w:pStyle w:val="ListParagraph"/>
        <w:ind w:left="0" w:hanging="0"/>
        <w:jc w:val="both"/>
        <w:rPr>
          <w:rFonts w:cs="Calibri" w:cstheme="minorHAnsi"/>
          <w:b/>
          <w:b/>
          <w:i/>
          <w:i/>
          <w:iCs/>
          <w:color w:val="FF0000"/>
          <w:sz w:val="24"/>
          <w:szCs w:val="24"/>
          <w:u w:val="single"/>
        </w:rPr>
      </w:pPr>
      <w:r>
        <w:rPr>
          <w:rFonts w:cs="Calibri" w:cstheme="minorHAnsi"/>
          <w:b/>
          <w:i/>
          <w:iCs/>
          <w:color w:val="FF0000"/>
          <w:sz w:val="24"/>
          <w:szCs w:val="24"/>
          <w:u w:val="single"/>
        </w:rPr>
        <w:t>oppure</w:t>
      </w:r>
    </w:p>
    <w:p>
      <w:pPr>
        <w:pStyle w:val="Normal"/>
        <w:spacing w:before="0" w:after="0"/>
        <w:jc w:val="both"/>
        <w:rPr>
          <w:rFonts w:cs="Calibri" w:cstheme="minorHAnsi"/>
          <w:bCs/>
          <w:iCs/>
          <w:color w:val="FF0000"/>
          <w:sz w:val="24"/>
          <w:szCs w:val="24"/>
          <w:u w:val="single"/>
        </w:rPr>
      </w:pPr>
      <w:r>
        <w:rPr>
          <w:rFonts w:cs="Calibri" w:cstheme="minorHAnsi"/>
          <w:bCs/>
          <w:iCs/>
          <w:color w:val="FF0000"/>
          <w:sz w:val="24"/>
          <w:szCs w:val="24"/>
          <w:u w:val="single"/>
        </w:rPr>
        <w:t>un’unica autocertificazione ed una dichiarazione sostitutiva di atto di notorietà di contenuto standard</w:t>
      </w:r>
    </w:p>
    <w:p>
      <w:pPr>
        <w:pStyle w:val="Normal"/>
        <w:spacing w:before="0" w:after="0"/>
        <w:jc w:val="both"/>
        <w:rPr>
          <w:rFonts w:cs="Calibri" w:cstheme="minorHAnsi"/>
          <w:bCs/>
          <w:iCs/>
          <w:color w:val="FF0000"/>
          <w:sz w:val="24"/>
          <w:szCs w:val="24"/>
          <w:u w:val="single"/>
        </w:rPr>
      </w:pPr>
      <w:r>
        <w:rPr>
          <w:rFonts w:cs="Calibri" w:cstheme="minorHAnsi"/>
          <w:bCs/>
          <w:iCs/>
          <w:color w:val="FF0000"/>
          <w:sz w:val="24"/>
          <w:szCs w:val="24"/>
          <w:u w:val="single"/>
        </w:rPr>
      </w:r>
    </w:p>
    <w:p>
      <w:pPr>
        <w:pStyle w:val="ListParagraph"/>
        <w:ind w:left="0" w:hanging="0"/>
        <w:jc w:val="both"/>
        <w:rPr>
          <w:rFonts w:cs="Calibri" w:cstheme="minorHAnsi"/>
          <w:b/>
          <w:b/>
          <w:i/>
          <w:i/>
          <w:iCs/>
          <w:color w:val="FF0000"/>
          <w:sz w:val="24"/>
          <w:szCs w:val="24"/>
          <w:u w:val="single"/>
        </w:rPr>
      </w:pPr>
      <w:r>
        <w:rPr>
          <w:rFonts w:cs="Calibri" w:cstheme="minorHAnsi"/>
          <w:b/>
          <w:i/>
          <w:iCs/>
          <w:color w:val="FF0000"/>
          <w:sz w:val="24"/>
          <w:szCs w:val="24"/>
          <w:u w:val="single"/>
        </w:rPr>
        <w:t>oppure</w:t>
      </w:r>
    </w:p>
    <w:p>
      <w:pPr>
        <w:pStyle w:val="Normal"/>
        <w:spacing w:before="0" w:after="0"/>
        <w:jc w:val="both"/>
        <w:rPr>
          <w:rFonts w:cs="Calibri" w:cstheme="minorHAnsi"/>
          <w:bCs/>
          <w:iCs/>
          <w:color w:val="FF0000"/>
          <w:sz w:val="24"/>
          <w:szCs w:val="24"/>
        </w:rPr>
      </w:pPr>
      <w:r>
        <w:rPr>
          <w:rFonts w:cs="Calibri" w:cstheme="minorHAnsi"/>
          <w:bCs/>
          <w:iCs/>
          <w:color w:val="FF0000"/>
          <w:sz w:val="24"/>
          <w:szCs w:val="24"/>
          <w:u w:val="single"/>
        </w:rPr>
        <w:t>le seguenti autocertificazioni</w:t>
      </w:r>
      <w:r>
        <w:rPr>
          <w:rFonts w:cs="Calibri" w:cstheme="minorHAnsi"/>
          <w:bCs/>
          <w:iCs/>
          <w:color w:val="FF0000"/>
          <w:sz w:val="24"/>
          <w:szCs w:val="24"/>
        </w:rPr>
        <w:t>:</w:t>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t>-</w:t>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t>-</w:t>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t>-. ]</w:t>
      </w:r>
    </w:p>
    <w:p>
      <w:pPr>
        <w:pStyle w:val="Normal"/>
        <w:spacing w:before="0" w:after="0"/>
        <w:jc w:val="both"/>
        <w:rPr>
          <w:rFonts w:cs="Calibri" w:cstheme="minorHAnsi"/>
          <w:bCs/>
          <w:iCs/>
          <w:sz w:val="24"/>
          <w:szCs w:val="24"/>
        </w:rPr>
      </w:pPr>
      <w:r>
        <w:rPr>
          <w:rFonts w:cs="Calibri" w:cstheme="minorHAnsi"/>
          <w:bCs/>
          <w:iCs/>
          <w:sz w:val="24"/>
          <w:szCs w:val="24"/>
        </w:rPr>
      </w:r>
    </w:p>
    <w:p>
      <w:pPr>
        <w:pStyle w:val="Normal"/>
        <w:spacing w:before="0" w:after="0"/>
        <w:jc w:val="both"/>
        <w:rPr>
          <w:rStyle w:val="Enfasi"/>
          <w:rFonts w:cs="Calibri" w:cstheme="minorHAnsi"/>
          <w:i w:val="false"/>
          <w:i w:val="false"/>
          <w:sz w:val="24"/>
          <w:szCs w:val="24"/>
          <w:highlight w:val="white"/>
        </w:rPr>
      </w:pPr>
      <w:r>
        <w:rPr>
          <w:rFonts w:cs="Calibri" w:cstheme="minorHAnsi"/>
          <w:bCs/>
          <w:iCs/>
          <w:sz w:val="24"/>
          <w:szCs w:val="24"/>
        </w:rPr>
        <w:t xml:space="preserve">Mediante il controllo a campione delle </w:t>
      </w:r>
      <w:r>
        <w:rPr>
          <w:rStyle w:val="Enfasi"/>
          <w:rFonts w:cs="Calibri" w:cstheme="minorHAnsi"/>
          <w:i w:val="false"/>
          <w:sz w:val="24"/>
          <w:szCs w:val="24"/>
          <w:shd w:fill="FFFFFF" w:val="clear"/>
        </w:rPr>
        <w:t>dichiarazioni sostitutive si intende, dunque, accertare la veridicità delle dichiarazioni prodotte.</w:t>
      </w:r>
    </w:p>
    <w:p>
      <w:pPr>
        <w:pStyle w:val="Normal"/>
        <w:spacing w:before="0" w:after="0"/>
        <w:jc w:val="both"/>
        <w:rPr>
          <w:rFonts w:cs="Calibri" w:cstheme="minorHAnsi"/>
          <w:iCs/>
          <w:sz w:val="24"/>
          <w:szCs w:val="24"/>
          <w:highlight w:val="white"/>
        </w:rPr>
      </w:pPr>
      <w:r>
        <w:rPr>
          <w:rFonts w:cs="Calibri" w:cstheme="minorHAnsi"/>
          <w:iCs/>
          <w:sz w:val="24"/>
          <w:szCs w:val="24"/>
          <w:highlight w:val="white"/>
        </w:rPr>
      </w:r>
    </w:p>
    <w:p>
      <w:pPr>
        <w:pStyle w:val="Normal"/>
        <w:spacing w:before="0" w:after="0"/>
        <w:jc w:val="both"/>
        <w:rPr>
          <w:rFonts w:cs="Calibri" w:cstheme="minorHAnsi"/>
          <w:iCs/>
          <w:sz w:val="24"/>
          <w:szCs w:val="24"/>
          <w:highlight w:val="white"/>
        </w:rPr>
      </w:pPr>
      <w:r>
        <w:rPr>
          <w:rFonts w:cs="Calibri" w:cstheme="minorHAnsi"/>
          <w:iCs/>
          <w:sz w:val="24"/>
          <w:szCs w:val="24"/>
          <w:highlight w:val="white"/>
        </w:rPr>
      </w:r>
    </w:p>
    <w:p>
      <w:pPr>
        <w:pStyle w:val="Titolo1"/>
        <w:numPr>
          <w:ilvl w:val="0"/>
          <w:numId w:val="1"/>
        </w:numPr>
        <w:ind w:left="426" w:hanging="360"/>
        <w:jc w:val="both"/>
        <w:rPr>
          <w:rFonts w:ascii="Calibri" w:hAnsi="Calibri" w:cs="Calibri" w:asciiTheme="minorHAnsi" w:cstheme="minorHAnsi" w:hAnsiTheme="minorHAnsi"/>
          <w:b/>
          <w:b/>
          <w:bCs/>
          <w:sz w:val="26"/>
          <w:szCs w:val="26"/>
        </w:rPr>
      </w:pPr>
      <w:bookmarkStart w:id="3" w:name="_Toc71532100"/>
      <w:r>
        <w:rPr>
          <w:rFonts w:cs="Calibri" w:ascii="Calibri" w:hAnsi="Calibri" w:asciiTheme="minorHAnsi" w:cstheme="minorHAnsi" w:hAnsiTheme="minorHAnsi"/>
          <w:b/>
          <w:bCs/>
          <w:sz w:val="26"/>
          <w:szCs w:val="26"/>
        </w:rPr>
        <w:t>Normativa di riferimento</w:t>
      </w:r>
      <w:bookmarkEnd w:id="3"/>
    </w:p>
    <w:p>
      <w:pPr>
        <w:pStyle w:val="Grassetto"/>
        <w:shd w:val="clear" w:color="auto" w:fill="FFFFFF"/>
        <w:spacing w:beforeAutospacing="0" w:before="280" w:afterAutospacing="0" w:after="0"/>
        <w:jc w:val="both"/>
        <w:rPr>
          <w:rFonts w:ascii="Calibri" w:hAnsi="Calibri" w:cs="Calibri" w:asciiTheme="minorHAnsi" w:cstheme="minorHAnsi" w:hAnsiTheme="minorHAnsi"/>
        </w:rPr>
      </w:pPr>
      <w:r>
        <w:rPr>
          <w:rFonts w:cs="Calibri" w:cstheme="minorHAnsi" w:ascii="Calibri" w:hAnsi="Calibri"/>
        </w:rPr>
      </w:r>
    </w:p>
    <w:p>
      <w:pPr>
        <w:pStyle w:val="Grassetto"/>
        <w:shd w:val="clear" w:color="auto" w:fill="FFFFFF"/>
        <w:spacing w:beforeAutospacing="0" w:before="280" w:afterAutospacing="0" w:after="0"/>
        <w:jc w:val="both"/>
        <w:rPr>
          <w:rFonts w:ascii="Calibri" w:hAnsi="Calibri" w:cs="Calibri" w:asciiTheme="minorHAnsi" w:cstheme="minorHAnsi" w:hAnsiTheme="minorHAnsi"/>
        </w:rPr>
      </w:pPr>
      <w:r>
        <w:rPr>
          <w:rFonts w:cs="Calibri" w:ascii="Calibri" w:hAnsi="Calibri" w:asciiTheme="minorHAnsi" w:cstheme="minorHAnsi" w:hAnsiTheme="minorHAnsi"/>
        </w:rPr>
        <w:t>Secondo quanto previsto dal DPR n. 445/2000 (Testo unico delle disposizioni legislative e regolamentari in materia di documentazione amministrativa) e, in particolare, dall’art. 71</w:t>
      </w:r>
      <w:r>
        <w:rPr>
          <w:rFonts w:cs="Calibri" w:ascii="Calibri" w:hAnsi="Calibri" w:asciiTheme="minorHAnsi" w:cstheme="minorHAnsi" w:hAnsiTheme="minorHAnsi"/>
          <w:b/>
          <w:bCs/>
        </w:rPr>
        <w:t xml:space="preserve">, </w:t>
      </w:r>
      <w:r>
        <w:rPr>
          <w:rStyle w:val="Strong"/>
          <w:rFonts w:cs="Calibri" w:ascii="Calibri" w:hAnsi="Calibri" w:asciiTheme="minorHAnsi" w:cstheme="minorHAnsi" w:hAnsiTheme="minorHAnsi"/>
          <w:b w:val="false"/>
          <w:bCs w:val="false"/>
        </w:rPr>
        <w:t>le amministrazioni sono tenute ad effettuare idonei controlli, anche a campione, e in tutti i casi in cui sorgono fondati dubbi sulla veridicità delle dichiarazioni sostitutive</w:t>
      </w:r>
      <w:r>
        <w:rPr>
          <w:rStyle w:val="Strong"/>
          <w:rFonts w:cs="Calibri" w:ascii="Calibri" w:hAnsi="Calibri" w:asciiTheme="minorHAnsi" w:cstheme="minorHAnsi" w:hAnsiTheme="minorHAnsi"/>
        </w:rPr>
        <w:t xml:space="preserve"> </w:t>
      </w:r>
      <w:r>
        <w:rPr>
          <w:rFonts w:cs="Calibri" w:ascii="Calibri" w:hAnsi="Calibri" w:asciiTheme="minorHAnsi" w:cstheme="minorHAnsi" w:hAnsiTheme="minorHAnsi"/>
        </w:rPr>
        <w:t xml:space="preserve">di cui agli articoli 46 e 47 dello stesso decreto. </w:t>
      </w:r>
    </w:p>
    <w:p>
      <w:pPr>
        <w:pStyle w:val="Grassetto"/>
        <w:shd w:val="clear" w:color="auto" w:fill="FFFFFF"/>
        <w:spacing w:beforeAutospacing="0" w:before="280" w:afterAutospacing="0" w:after="0"/>
        <w:jc w:val="both"/>
        <w:rPr>
          <w:rFonts w:ascii="Calibri" w:hAnsi="Calibri" w:cs="Calibri" w:asciiTheme="minorHAnsi" w:cstheme="minorHAnsi" w:hAnsiTheme="minorHAnsi"/>
        </w:rPr>
      </w:pPr>
      <w:r>
        <w:rPr>
          <w:rFonts w:cs="Calibri" w:ascii="Calibri" w:hAnsi="Calibri" w:asciiTheme="minorHAnsi" w:cstheme="minorHAnsi" w:hAnsiTheme="minorHAnsi"/>
        </w:rPr>
        <w:t>Con l’emergenza sanitaria COVID 19, nell’ottica della semplificazione, dell’accelerazione dei procedimenti amministrativi e la rimozione di ogni ostacolo burocratico nella vita dei cittadini e delle imprese, è stato pubblicato il Decreto-legge 19 maggio 2020, n. 34 “Misure urgenti in materia di salute, sostegno al lavoro e all'economia, nonché di politiche sociali connesse all'emergenza epidemiologica da COVID-19” con il quale, all’art. 264  è stato disposto che “</w:t>
      </w:r>
      <w:r>
        <w:rPr>
          <w:rFonts w:cs="Calibri" w:ascii="Calibri" w:hAnsi="Calibri" w:asciiTheme="minorHAnsi" w:cstheme="minorHAnsi" w:hAnsiTheme="minorHAnsi"/>
          <w:i/>
          <w:iCs/>
        </w:rPr>
        <w:t>nei procedimenti avviati su istanza di parte, che hanno ad oggetto l'erogazione di benefici economici comunque denominati, indennità, prestazioni previdenziali e assistenziali, erogazioni, contributi, sovvenzioni, finanziamenti, prestiti, agevolazioni e sospensioni, da parte di pubbliche amministrazioni, in relazione all'emergenza COVID-19, le dichiarazioni di cui agli articoli 46 e 47 del decreto del Presidente della Repubblica 28 dicembre 2000, n. 445 sostituiscono ogni tipo di documentazione comprovante tutti i requisiti soggettivi e oggettivi richiesti dalla normativa di riferimento, anche in deroga ai limiti previsti dagli stessi o dalla normativa di settore, fatto comunque salvo il rispetto delle disposizioni del codice delle leggi antimafia e delle misure di prevenzione, di cui al decreto legislativo 6 settembre 2011, n. 159</w:t>
      </w:r>
      <w:r>
        <w:rPr>
          <w:rFonts w:cs="Calibri" w:ascii="Calibri" w:hAnsi="Calibri" w:asciiTheme="minorHAnsi" w:cstheme="minorHAnsi" w:hAnsiTheme="minorHAnsi"/>
        </w:rPr>
        <w:t>”.</w:t>
      </w:r>
    </w:p>
    <w:p>
      <w:pPr>
        <w:pStyle w:val="Grassetto"/>
        <w:shd w:val="clear" w:color="auto" w:fill="FFFFFF"/>
        <w:spacing w:beforeAutospacing="0" w:before="280" w:afterAutospacing="0" w:after="0"/>
        <w:jc w:val="both"/>
        <w:rPr>
          <w:rFonts w:ascii="Calibri" w:hAnsi="Calibri" w:eastAsia="Calibri" w:cs="Calibri" w:asciiTheme="minorHAnsi" w:cstheme="minorHAnsi" w:eastAsiaTheme="minorHAnsi" w:hAnsiTheme="minorHAnsi"/>
          <w:lang w:eastAsia="en-US"/>
        </w:rPr>
      </w:pPr>
      <w:r>
        <w:rPr>
          <w:rFonts w:cs="Calibri" w:ascii="Calibri" w:hAnsi="Calibri" w:asciiTheme="minorHAnsi" w:cstheme="minorHAnsi" w:hAnsiTheme="minorHAnsi"/>
        </w:rPr>
        <w:t>Con il Decreto legge n. 76 del 16 luglio 2020, che ha modificato l’art. 18 della L</w:t>
      </w:r>
      <w:r>
        <w:rPr>
          <w:rFonts w:eastAsia="Calibri" w:cs="Calibri" w:ascii="Calibri" w:hAnsi="Calibri" w:asciiTheme="minorHAnsi" w:cstheme="minorHAnsi" w:eastAsiaTheme="minorHAnsi" w:hAnsiTheme="minorHAnsi"/>
          <w:lang w:eastAsia="en-US"/>
        </w:rPr>
        <w:t>egge n. 241 del 7 agosto 1990 e introdotto il comma 3 bis, la predetta disposizione è stata confermata ed estesa quale modalità operativa applicabile ordinariamente per l’erogazione di contributi economici, agevolazioni e per il rilascio di autorizzazioni o nulla osta, quindi indipendentemente dall’emergenza COVID-19.</w:t>
      </w:r>
    </w:p>
    <w:p>
      <w:pPr>
        <w:pStyle w:val="Grassetto"/>
        <w:shd w:val="clear" w:color="auto" w:fill="FFFFFF"/>
        <w:spacing w:beforeAutospacing="0" w:before="280" w:afterAutospacing="0" w:after="0"/>
        <w:jc w:val="both"/>
        <w:rPr>
          <w:rFonts w:ascii="Calibri" w:hAnsi="Calibri" w:eastAsia="Calibri" w:cs="Calibri" w:asciiTheme="minorHAnsi" w:cstheme="minorHAnsi" w:eastAsiaTheme="minorHAnsi" w:hAnsiTheme="minorHAnsi"/>
          <w:lang w:eastAsia="en-US"/>
        </w:rPr>
      </w:pPr>
      <w:r>
        <w:rPr>
          <w:rFonts w:eastAsia="Calibri" w:cs="Calibri" w:cstheme="minorHAnsi" w:eastAsiaTheme="minorHAnsi" w:ascii="Calibri" w:hAnsi="Calibri"/>
          <w:lang w:eastAsia="en-US"/>
        </w:rPr>
      </w:r>
    </w:p>
    <w:p>
      <w:pPr>
        <w:pStyle w:val="Grassetto"/>
        <w:shd w:val="clear" w:color="auto" w:fill="FFFFFF"/>
        <w:spacing w:beforeAutospacing="0" w:before="280" w:afterAutospacing="0" w:after="0"/>
        <w:jc w:val="both"/>
        <w:rPr>
          <w:rFonts w:ascii="Calibri" w:hAnsi="Calibri" w:eastAsia="Calibri" w:cs="Calibri" w:asciiTheme="minorHAnsi" w:cstheme="minorHAnsi" w:eastAsiaTheme="minorHAnsi" w:hAnsiTheme="minorHAnsi"/>
          <w:lang w:eastAsia="en-US"/>
        </w:rPr>
      </w:pPr>
      <w:r>
        <w:rPr>
          <w:rFonts w:eastAsia="Calibri" w:cs="Calibri" w:cstheme="minorHAnsi" w:eastAsiaTheme="minorHAnsi" w:ascii="Calibri" w:hAnsi="Calibri"/>
          <w:lang w:eastAsia="en-US"/>
        </w:rPr>
      </w:r>
    </w:p>
    <w:p>
      <w:pPr>
        <w:pStyle w:val="Titolo1"/>
        <w:numPr>
          <w:ilvl w:val="0"/>
          <w:numId w:val="1"/>
        </w:numPr>
        <w:ind w:left="426" w:hanging="360"/>
        <w:jc w:val="both"/>
        <w:rPr>
          <w:rFonts w:ascii="Calibri" w:hAnsi="Calibri" w:cs="Calibri" w:asciiTheme="minorHAnsi" w:cstheme="minorHAnsi" w:hAnsiTheme="minorHAnsi"/>
          <w:b/>
          <w:b/>
          <w:bCs/>
          <w:sz w:val="26"/>
          <w:szCs w:val="26"/>
        </w:rPr>
      </w:pPr>
      <w:bookmarkStart w:id="4" w:name="_Toc71532101"/>
      <w:r>
        <w:rPr>
          <w:rFonts w:cs="Calibri" w:ascii="Calibri" w:hAnsi="Calibri" w:asciiTheme="minorHAnsi" w:cstheme="minorHAnsi" w:hAnsiTheme="minorHAnsi"/>
          <w:b/>
          <w:bCs/>
          <w:sz w:val="26"/>
          <w:szCs w:val="26"/>
        </w:rPr>
        <w:t>Misure adottate</w:t>
      </w:r>
      <w:bookmarkEnd w:id="4"/>
      <w:r>
        <w:rPr>
          <w:rFonts w:cs="Calibri" w:ascii="Calibri" w:hAnsi="Calibri" w:asciiTheme="minorHAnsi" w:cstheme="minorHAnsi" w:hAnsiTheme="minorHAnsi"/>
          <w:b/>
          <w:bCs/>
          <w:sz w:val="26"/>
          <w:szCs w:val="26"/>
        </w:rPr>
        <w:t xml:space="preserve"> </w:t>
      </w:r>
    </w:p>
    <w:p>
      <w:pPr>
        <w:pStyle w:val="Grassetto"/>
        <w:shd w:val="clear" w:color="auto" w:fill="FFFFFF"/>
        <w:spacing w:beforeAutospacing="0" w:before="280" w:afterAutospacing="0" w:after="0"/>
        <w:jc w:val="both"/>
        <w:rPr>
          <w:rFonts w:ascii="Calibri" w:hAnsi="Calibri" w:cs="Calibri" w:asciiTheme="minorHAnsi" w:cstheme="minorHAnsi" w:hAnsiTheme="minorHAnsi"/>
        </w:rPr>
      </w:pPr>
      <w:r>
        <w:rPr>
          <w:rFonts w:cs="Calibri" w:cstheme="minorHAnsi" w:ascii="Calibri" w:hAnsi="Calibri"/>
        </w:rPr>
      </w:r>
    </w:p>
    <w:p>
      <w:pPr>
        <w:pStyle w:val="Normal"/>
        <w:spacing w:before="0" w:after="0"/>
        <w:jc w:val="both"/>
        <w:rPr>
          <w:rFonts w:cs="Calibri" w:cstheme="minorHAnsi"/>
          <w:bCs/>
          <w:iCs/>
          <w:color w:val="FF0000"/>
          <w:sz w:val="24"/>
          <w:szCs w:val="24"/>
        </w:rPr>
      </w:pPr>
      <w:r>
        <w:rPr>
          <w:iCs/>
          <w:sz w:val="24"/>
          <w:szCs w:val="24"/>
        </w:rPr>
        <w:t xml:space="preserve">Per una maggiore tutela e garanzia della regolarità delle domande finanziate e in un’ottica di riduzione degli oneri amministrativi a carico del Responsabile di Scheda e delle altre Amministrazioni coinvolte è opportuno espletare il controllo a campione sulle autocertificazioni, di cui all’art. 71 del DPR 445/20 e ss.mm.ii., </w:t>
      </w:r>
      <w:r>
        <w:rPr>
          <w:rFonts w:cs="Calibri" w:cstheme="minorHAnsi"/>
          <w:bCs/>
          <w:iCs/>
          <w:color w:val="FF0000"/>
          <w:sz w:val="24"/>
          <w:szCs w:val="24"/>
        </w:rPr>
        <w:t xml:space="preserve">[indicare </w:t>
      </w:r>
      <w:r>
        <w:rPr>
          <w:rFonts w:cs="Calibri" w:cstheme="minorHAnsi"/>
          <w:bCs/>
          <w:iCs/>
          <w:color w:val="FF0000"/>
          <w:sz w:val="24"/>
          <w:szCs w:val="24"/>
          <w:u w:val="single"/>
        </w:rPr>
        <w:t>alternativamente</w:t>
      </w:r>
    </w:p>
    <w:p>
      <w:pPr>
        <w:pStyle w:val="Grassetto"/>
        <w:shd w:val="clear" w:color="auto" w:fill="FFFFFF"/>
        <w:spacing w:beforeAutospacing="0" w:before="280" w:afterAutospacing="0" w:after="0"/>
        <w:jc w:val="both"/>
        <w:rPr>
          <w:rFonts w:ascii="Calibri" w:hAnsi="Calibri" w:asciiTheme="minorHAnsi" w:hAnsiTheme="minorHAnsi"/>
          <w:iCs/>
          <w:color w:val="FF0000"/>
        </w:rPr>
      </w:pPr>
      <w:r>
        <w:rPr>
          <w:rFonts w:asciiTheme="minorHAnsi" w:hAnsiTheme="minorHAnsi" w:ascii="Calibri" w:hAnsi="Calibri"/>
          <w:iCs/>
          <w:color w:val="FF0000"/>
        </w:rPr>
      </w:r>
    </w:p>
    <w:p>
      <w:pPr>
        <w:pStyle w:val="Grassetto"/>
        <w:shd w:val="clear" w:color="auto" w:fill="FFFFFF"/>
        <w:spacing w:beforeAutospacing="0" w:before="280" w:afterAutospacing="0" w:after="0"/>
        <w:jc w:val="both"/>
        <w:rPr>
          <w:rFonts w:ascii="Calibri" w:hAnsi="Calibri" w:asciiTheme="minorHAnsi" w:hAnsiTheme="minorHAnsi"/>
          <w:iCs/>
          <w:color w:val="FF0000"/>
        </w:rPr>
      </w:pPr>
      <w:r>
        <w:rPr>
          <w:rFonts w:ascii="Calibri" w:hAnsi="Calibri" w:asciiTheme="minorHAnsi" w:hAnsiTheme="minorHAnsi"/>
          <w:iCs/>
          <w:color w:val="FF0000"/>
        </w:rPr>
        <w:t>nella fase di istruttoria delle Domande, prima della pubblicazione degli esiti</w:t>
      </w:r>
    </w:p>
    <w:p>
      <w:pPr>
        <w:pStyle w:val="Grassetto"/>
        <w:shd w:val="clear" w:color="auto" w:fill="FFFFFF"/>
        <w:spacing w:beforeAutospacing="0" w:before="280" w:afterAutospacing="0" w:after="0"/>
        <w:jc w:val="both"/>
        <w:rPr>
          <w:rFonts w:ascii="Calibri" w:hAnsi="Calibri" w:asciiTheme="minorHAnsi" w:hAnsiTheme="minorHAnsi"/>
          <w:iCs/>
          <w:color w:val="FF0000"/>
        </w:rPr>
      </w:pPr>
      <w:r>
        <w:rPr>
          <w:rFonts w:asciiTheme="minorHAnsi" w:hAnsiTheme="minorHAnsi" w:ascii="Calibri" w:hAnsi="Calibri"/>
          <w:iCs/>
          <w:color w:val="FF0000"/>
        </w:rPr>
      </w:r>
    </w:p>
    <w:p>
      <w:pPr>
        <w:pStyle w:val="ListParagraph"/>
        <w:ind w:left="0" w:hanging="0"/>
        <w:jc w:val="both"/>
        <w:rPr>
          <w:rFonts w:cs="Calibri" w:cstheme="minorHAnsi"/>
          <w:b/>
          <w:b/>
          <w:i/>
          <w:i/>
          <w:iCs/>
          <w:color w:val="FF0000"/>
          <w:sz w:val="24"/>
          <w:szCs w:val="24"/>
          <w:u w:val="single"/>
        </w:rPr>
      </w:pPr>
      <w:r>
        <w:rPr>
          <w:rFonts w:cs="Calibri" w:cstheme="minorHAnsi"/>
          <w:b/>
          <w:i/>
          <w:iCs/>
          <w:color w:val="FF0000"/>
          <w:sz w:val="24"/>
          <w:szCs w:val="24"/>
          <w:u w:val="single"/>
        </w:rPr>
        <w:t>oppure</w:t>
      </w:r>
    </w:p>
    <w:p>
      <w:pPr>
        <w:pStyle w:val="Grassetto"/>
        <w:shd w:val="clear" w:color="auto" w:fill="FFFFFF"/>
        <w:spacing w:beforeAutospacing="0" w:before="280" w:afterAutospacing="0" w:after="0"/>
        <w:jc w:val="both"/>
        <w:rPr>
          <w:rFonts w:ascii="Calibri" w:hAnsi="Calibri" w:asciiTheme="minorHAnsi" w:hAnsiTheme="minorHAnsi"/>
          <w:iCs/>
          <w:color w:val="FF0000"/>
          <w:u w:val="single"/>
        </w:rPr>
      </w:pPr>
      <w:r>
        <w:rPr>
          <w:rFonts w:ascii="Calibri" w:hAnsi="Calibri" w:asciiTheme="minorHAnsi" w:hAnsiTheme="minorHAnsi"/>
          <w:iCs/>
          <w:color w:val="FF0000"/>
          <w:u w:val="single"/>
        </w:rPr>
        <w:t>preliminarmente all’assunzione dei provvedimenti connessi al saldo delle spese sostenute a valere sui progetti finanziati</w:t>
      </w:r>
    </w:p>
    <w:p>
      <w:pPr>
        <w:pStyle w:val="Grassetto"/>
        <w:shd w:val="clear" w:color="auto" w:fill="FFFFFF"/>
        <w:spacing w:beforeAutospacing="0" w:before="280" w:afterAutospacing="0" w:after="0"/>
        <w:jc w:val="both"/>
        <w:rPr>
          <w:rFonts w:ascii="Calibri" w:hAnsi="Calibri" w:asciiTheme="minorHAnsi" w:hAnsiTheme="minorHAnsi"/>
          <w:iCs/>
          <w:color w:val="FF0000"/>
          <w:u w:val="single"/>
        </w:rPr>
      </w:pPr>
      <w:r>
        <w:rPr>
          <w:rFonts w:asciiTheme="minorHAnsi" w:hAnsiTheme="minorHAnsi" w:ascii="Calibri" w:hAnsi="Calibri"/>
          <w:iCs/>
          <w:color w:val="FF0000"/>
          <w:u w:val="single"/>
        </w:rPr>
      </w:r>
    </w:p>
    <w:p>
      <w:pPr>
        <w:pStyle w:val="ListParagraph"/>
        <w:ind w:left="0" w:hanging="0"/>
        <w:jc w:val="both"/>
        <w:rPr>
          <w:rFonts w:cs="Calibri" w:cstheme="minorHAnsi"/>
          <w:b/>
          <w:b/>
          <w:i/>
          <w:i/>
          <w:iCs/>
          <w:color w:val="FF0000"/>
          <w:sz w:val="24"/>
          <w:szCs w:val="24"/>
          <w:u w:val="single"/>
        </w:rPr>
      </w:pPr>
      <w:r>
        <w:rPr>
          <w:rFonts w:cs="Calibri" w:cstheme="minorHAnsi"/>
          <w:b/>
          <w:i/>
          <w:iCs/>
          <w:color w:val="FF0000"/>
          <w:sz w:val="24"/>
          <w:szCs w:val="24"/>
          <w:u w:val="single"/>
        </w:rPr>
        <w:t>oppure</w:t>
      </w:r>
    </w:p>
    <w:p>
      <w:pPr>
        <w:pStyle w:val="Grassetto"/>
        <w:shd w:val="clear" w:color="auto" w:fill="FFFFFF"/>
        <w:spacing w:beforeAutospacing="0" w:before="280" w:afterAutospacing="0" w:after="0"/>
        <w:jc w:val="both"/>
        <w:rPr>
          <w:rFonts w:ascii="Calibri" w:hAnsi="Calibri" w:asciiTheme="minorHAnsi" w:hAnsiTheme="minorHAnsi"/>
          <w:iCs/>
          <w:color w:val="FF0000"/>
          <w:u w:val="single"/>
        </w:rPr>
      </w:pPr>
      <w:r>
        <w:rPr>
          <w:rFonts w:ascii="Calibri" w:hAnsi="Calibri" w:asciiTheme="minorHAnsi" w:hAnsiTheme="minorHAnsi"/>
          <w:iCs/>
          <w:color w:val="FF0000"/>
          <w:u w:val="single"/>
        </w:rPr>
        <w:t>successivamente al pagamento del saldo finale]</w:t>
      </w:r>
      <w:r>
        <w:rPr>
          <w:rFonts w:ascii="Calibri" w:hAnsi="Calibri" w:asciiTheme="minorHAnsi" w:hAnsiTheme="minorHAnsi"/>
          <w:iCs/>
        </w:rPr>
        <w:t>.</w:t>
      </w:r>
    </w:p>
    <w:p>
      <w:pPr>
        <w:pStyle w:val="Grassetto"/>
        <w:shd w:val="clear" w:color="auto" w:fill="FFFFFF"/>
        <w:spacing w:beforeAutospacing="0" w:before="280" w:afterAutospacing="0" w:after="0"/>
        <w:jc w:val="both"/>
        <w:rPr>
          <w:rFonts w:ascii="Calibri" w:hAnsi="Calibri" w:asciiTheme="minorHAnsi" w:hAnsiTheme="minorHAnsi"/>
          <w:iCs/>
        </w:rPr>
      </w:pPr>
      <w:r>
        <w:rPr>
          <w:rFonts w:asciiTheme="minorHAnsi" w:hAnsiTheme="minorHAnsi" w:ascii="Calibri" w:hAnsi="Calibri"/>
          <w:iCs/>
        </w:rPr>
      </w:r>
    </w:p>
    <w:p>
      <w:pPr>
        <w:pStyle w:val="Grassetto"/>
        <w:shd w:val="clear" w:color="auto" w:fill="FFFFFF"/>
        <w:spacing w:beforeAutospacing="0" w:before="280" w:afterAutospacing="0" w:after="0"/>
        <w:jc w:val="both"/>
        <w:rPr>
          <w:rFonts w:ascii="Calibri" w:hAnsi="Calibri" w:asciiTheme="minorHAnsi" w:hAnsiTheme="minorHAnsi"/>
          <w:iCs/>
        </w:rPr>
      </w:pPr>
      <w:r>
        <w:rPr>
          <w:rFonts w:asciiTheme="minorHAnsi" w:hAnsiTheme="minorHAnsi" w:ascii="Calibri" w:hAnsi="Calibri"/>
          <w:iCs/>
        </w:rPr>
      </w:r>
    </w:p>
    <w:p>
      <w:pPr>
        <w:pStyle w:val="Grassetto"/>
        <w:shd w:val="clear" w:color="auto" w:fill="FFFFFF"/>
        <w:spacing w:beforeAutospacing="0" w:before="280" w:afterAutospacing="0" w:after="0"/>
        <w:jc w:val="both"/>
        <w:rPr>
          <w:rFonts w:ascii="Calibri" w:hAnsi="Calibri" w:asciiTheme="minorHAnsi" w:hAnsiTheme="minorHAnsi"/>
          <w:iCs/>
        </w:rPr>
      </w:pPr>
      <w:r>
        <w:rPr>
          <w:rFonts w:asciiTheme="minorHAnsi" w:hAnsiTheme="minorHAnsi" w:ascii="Calibri" w:hAnsi="Calibri"/>
          <w:iCs/>
        </w:rPr>
      </w:r>
    </w:p>
    <w:p>
      <w:pPr>
        <w:pStyle w:val="Grassetto"/>
        <w:shd w:val="clear" w:color="auto" w:fill="FFFFFF"/>
        <w:spacing w:beforeAutospacing="0" w:before="280" w:afterAutospacing="0" w:after="0"/>
        <w:jc w:val="both"/>
        <w:rPr>
          <w:rFonts w:ascii="Calibri" w:hAnsi="Calibri" w:asciiTheme="minorHAnsi" w:hAnsiTheme="minorHAnsi"/>
          <w:iCs/>
        </w:rPr>
      </w:pPr>
      <w:r>
        <w:rPr>
          <w:rFonts w:ascii="Calibri" w:hAnsi="Calibri" w:asciiTheme="minorHAnsi" w:hAnsiTheme="minorHAnsi"/>
          <w:iCs/>
        </w:rPr>
        <w:t>A riguardo, nel successivo paragrafo, viene indicata la metodologia di campionamento utilizzata, ove ne ricorrano le condizioni, e gli strumenti a supporto adottati.</w:t>
      </w:r>
    </w:p>
    <w:p>
      <w:pPr>
        <w:pStyle w:val="Grassetto"/>
        <w:shd w:val="clear" w:color="auto" w:fill="FFFFFF"/>
        <w:spacing w:beforeAutospacing="0" w:before="280" w:afterAutospacing="0" w:after="0"/>
        <w:jc w:val="both"/>
        <w:rPr>
          <w:rFonts w:ascii="Calibri" w:hAnsi="Calibri" w:asciiTheme="minorHAnsi" w:hAnsiTheme="minorHAnsi"/>
          <w:iCs/>
        </w:rPr>
      </w:pPr>
      <w:r>
        <w:rPr>
          <w:rFonts w:asciiTheme="minorHAnsi" w:hAnsiTheme="minorHAnsi" w:ascii="Calibri" w:hAnsi="Calibri"/>
          <w:iCs/>
        </w:rPr>
      </w:r>
    </w:p>
    <w:p>
      <w:pPr>
        <w:pStyle w:val="Grassetto"/>
        <w:shd w:val="clear" w:color="auto" w:fill="FFFFFF"/>
        <w:spacing w:beforeAutospacing="0" w:before="280" w:afterAutospacing="0" w:after="0"/>
        <w:jc w:val="both"/>
        <w:rPr>
          <w:rFonts w:ascii="Calibri" w:hAnsi="Calibri" w:asciiTheme="minorHAnsi" w:hAnsiTheme="minorHAnsi"/>
          <w:iCs/>
        </w:rPr>
      </w:pPr>
      <w:r>
        <w:rPr>
          <w:rFonts w:asciiTheme="minorHAnsi" w:hAnsiTheme="minorHAnsi" w:ascii="Calibri" w:hAnsi="Calibri"/>
          <w:iCs/>
        </w:rPr>
      </w:r>
    </w:p>
    <w:p>
      <w:pPr>
        <w:pStyle w:val="Titolo1"/>
        <w:numPr>
          <w:ilvl w:val="0"/>
          <w:numId w:val="1"/>
        </w:numPr>
        <w:ind w:left="426" w:hanging="360"/>
        <w:jc w:val="both"/>
        <w:rPr>
          <w:rFonts w:ascii="Calibri" w:hAnsi="Calibri" w:cs="Calibri" w:asciiTheme="minorHAnsi" w:cstheme="minorHAnsi" w:hAnsiTheme="minorHAnsi"/>
          <w:b/>
          <w:b/>
          <w:bCs/>
          <w:sz w:val="26"/>
          <w:szCs w:val="26"/>
        </w:rPr>
      </w:pPr>
      <w:bookmarkStart w:id="5" w:name="_Toc71532102"/>
      <w:r>
        <w:rPr>
          <w:rFonts w:cs="Calibri" w:ascii="Calibri" w:hAnsi="Calibri" w:asciiTheme="minorHAnsi" w:cstheme="minorHAnsi" w:hAnsiTheme="minorHAnsi"/>
          <w:b/>
          <w:bCs/>
          <w:sz w:val="26"/>
          <w:szCs w:val="26"/>
        </w:rPr>
        <w:t>Metodologia di campionamento delle Dichiarazioni sostitutive ai sensi del DPR 445/2000 e relativi strumenti operativi</w:t>
      </w:r>
      <w:bookmarkEnd w:id="5"/>
    </w:p>
    <w:p>
      <w:pPr>
        <w:pStyle w:val="Normal"/>
        <w:spacing w:before="0" w:after="0"/>
        <w:rPr/>
      </w:pPr>
      <w:r>
        <w:rPr/>
      </w:r>
    </w:p>
    <w:p>
      <w:pPr>
        <w:pStyle w:val="NormalWeb"/>
        <w:shd w:val="clear" w:color="auto" w:fill="FFFFFF"/>
        <w:spacing w:beforeAutospacing="0" w:before="280" w:afterAutospacing="0" w:after="0"/>
        <w:jc w:val="both"/>
        <w:rPr>
          <w:rFonts w:ascii="Calibri" w:hAnsi="Calibri" w:cs="Calibri" w:asciiTheme="minorHAnsi" w:cstheme="minorHAnsi" w:hAnsiTheme="minorHAnsi"/>
          <w:bCs/>
        </w:rPr>
      </w:pPr>
      <w:r>
        <w:rPr>
          <w:rFonts w:cs="Calibri" w:ascii="Calibri" w:hAnsi="Calibri" w:asciiTheme="minorHAnsi" w:cstheme="minorHAnsi" w:hAnsiTheme="minorHAnsi"/>
          <w:bCs/>
        </w:rPr>
        <w:t>L’universo delle dichiarazioni sostitutive è costituito da un numero di domande &gt; 10, ovvero pari a</w:t>
      </w:r>
      <w:r>
        <w:rPr>
          <w:rFonts w:cs="Calibri" w:ascii="Calibri" w:hAnsi="Calibri" w:asciiTheme="minorHAnsi" w:cstheme="minorHAnsi" w:hAnsiTheme="minorHAnsi"/>
          <w:bCs/>
          <w:u w:val="single"/>
        </w:rPr>
        <w:t xml:space="preserve"> </w:t>
      </w:r>
      <w:r>
        <w:rPr>
          <w:rFonts w:cs="Calibri" w:ascii="Calibri" w:hAnsi="Calibri" w:asciiTheme="minorHAnsi" w:cstheme="minorHAnsi" w:hAnsiTheme="minorHAnsi"/>
          <w:bCs/>
          <w:color w:val="FF0000"/>
        </w:rPr>
        <w:t xml:space="preserve">x (in lettere) ammesse/finanziate, </w:t>
      </w:r>
      <w:r>
        <w:rPr>
          <w:rFonts w:cs="Calibri" w:ascii="Calibri" w:hAnsi="Calibri" w:asciiTheme="minorHAnsi" w:cstheme="minorHAnsi" w:hAnsiTheme="minorHAnsi"/>
          <w:bCs/>
        </w:rPr>
        <w:t xml:space="preserve">come da elenco allegato alla determinazione n. </w:t>
      </w:r>
      <w:r>
        <w:rPr>
          <w:rFonts w:cs="Calibri" w:ascii="Calibri" w:hAnsi="Calibri" w:asciiTheme="minorHAnsi" w:cstheme="minorHAnsi" w:hAnsiTheme="minorHAnsi"/>
          <w:bCs/>
          <w:color w:val="FF0000"/>
        </w:rPr>
        <w:t>[XXXX]</w:t>
      </w:r>
      <w:r>
        <w:rPr>
          <w:rFonts w:cs="Calibri" w:cstheme="minorHAnsi"/>
          <w:bCs/>
          <w:iCs/>
          <w:color w:val="FF0000"/>
        </w:rPr>
        <w:t xml:space="preserve"> </w:t>
      </w:r>
      <w:r>
        <w:rPr>
          <w:rFonts w:cs="Calibri" w:ascii="Calibri" w:hAnsi="Calibri" w:asciiTheme="minorHAnsi" w:cstheme="minorHAnsi" w:hAnsiTheme="minorHAnsi"/>
          <w:bCs/>
        </w:rPr>
        <w:t xml:space="preserve">del </w:t>
      </w:r>
      <w:r>
        <w:rPr>
          <w:rFonts w:cs="Calibri" w:ascii="Calibri" w:hAnsi="Calibri" w:asciiTheme="minorHAnsi" w:cstheme="minorHAnsi" w:hAnsiTheme="minorHAnsi"/>
          <w:bCs/>
          <w:color w:val="FF0000"/>
        </w:rPr>
        <w:t>[XX.XX.XXXX].</w:t>
      </w:r>
    </w:p>
    <w:p>
      <w:pPr>
        <w:pStyle w:val="ListParagraph"/>
        <w:spacing w:before="0" w:after="0"/>
        <w:ind w:left="0" w:hanging="0"/>
        <w:contextualSpacing/>
        <w:jc w:val="both"/>
        <w:rPr>
          <w:rFonts w:eastAsia="Times New Roman" w:cs="Calibri" w:cstheme="minorHAnsi"/>
          <w:bCs/>
          <w:color w:val="FF0000"/>
          <w:sz w:val="24"/>
          <w:szCs w:val="24"/>
          <w:lang w:eastAsia="it-IT"/>
        </w:rPr>
      </w:pPr>
      <w:r>
        <w:rPr>
          <w:rFonts w:eastAsia="Times New Roman" w:cs="Calibri" w:cstheme="minorHAnsi"/>
          <w:bCs/>
          <w:color w:val="FF0000"/>
          <w:sz w:val="24"/>
          <w:szCs w:val="24"/>
          <w:lang w:eastAsia="it-IT"/>
        </w:rPr>
      </w:r>
    </w:p>
    <w:p>
      <w:pPr>
        <w:pStyle w:val="ListParagraph"/>
        <w:spacing w:before="0" w:after="0"/>
        <w:ind w:left="0" w:hanging="0"/>
        <w:contextualSpacing/>
        <w:jc w:val="both"/>
        <w:rPr>
          <w:rFonts w:eastAsia="Times New Roman" w:cs="Calibri" w:cstheme="minorHAnsi"/>
          <w:bCs/>
          <w:sz w:val="24"/>
          <w:szCs w:val="24"/>
          <w:lang w:eastAsia="it-IT"/>
        </w:rPr>
      </w:pPr>
      <w:r>
        <w:rPr>
          <w:rFonts w:eastAsia="Times New Roman" w:cs="Calibri" w:cstheme="minorHAnsi"/>
          <w:bCs/>
          <w:sz w:val="24"/>
          <w:szCs w:val="24"/>
          <w:lang w:eastAsia="it-IT"/>
        </w:rPr>
        <w:t>Pertanto si procede all’estrazione del campione, come di seguito illustrato.</w:t>
      </w:r>
    </w:p>
    <w:p>
      <w:pPr>
        <w:pStyle w:val="ListParagraph"/>
        <w:spacing w:before="0" w:after="0"/>
        <w:ind w:left="0" w:hanging="0"/>
        <w:contextualSpacing/>
        <w:jc w:val="both"/>
        <w:rPr>
          <w:rFonts w:eastAsia="Times New Roman" w:cs="Calibri" w:cstheme="minorHAnsi"/>
          <w:bCs/>
          <w:sz w:val="24"/>
          <w:szCs w:val="24"/>
          <w:lang w:eastAsia="it-IT"/>
        </w:rPr>
      </w:pPr>
      <w:r>
        <w:rPr>
          <w:rFonts w:eastAsia="Times New Roman" w:cs="Calibri" w:cstheme="minorHAnsi"/>
          <w:bCs/>
          <w:sz w:val="24"/>
          <w:szCs w:val="24"/>
          <w:lang w:eastAsia="it-IT"/>
        </w:rPr>
      </w:r>
    </w:p>
    <w:p>
      <w:pPr>
        <w:pStyle w:val="ListParagraph"/>
        <w:spacing w:before="0" w:after="0"/>
        <w:ind w:left="0" w:hanging="0"/>
        <w:contextualSpacing/>
        <w:jc w:val="both"/>
        <w:rPr>
          <w:rFonts w:eastAsia="Times New Roman" w:cs="Calibri" w:cstheme="minorHAnsi"/>
          <w:bCs/>
          <w:sz w:val="24"/>
          <w:szCs w:val="24"/>
          <w:lang w:eastAsia="it-IT"/>
        </w:rPr>
      </w:pPr>
      <w:r>
        <w:rPr>
          <w:rFonts w:eastAsia="Times New Roman" w:cs="Calibri" w:cstheme="minorHAnsi"/>
          <w:bCs/>
          <w:sz w:val="24"/>
          <w:szCs w:val="24"/>
          <w:lang w:eastAsia="it-IT"/>
        </w:rPr>
        <w:t xml:space="preserve">Le unità di campionamento saranno costituite dagli ID identificativi delle Domande finanziate, a ciascuna delle quali corrisponde </w:t>
      </w:r>
    </w:p>
    <w:p>
      <w:pPr>
        <w:pStyle w:val="Normal"/>
        <w:spacing w:before="0" w:after="0"/>
        <w:jc w:val="both"/>
        <w:rPr>
          <w:rFonts w:cs="Calibri" w:cstheme="minorHAnsi"/>
          <w:bCs/>
          <w:iCs/>
          <w:color w:val="FF0000"/>
          <w:sz w:val="24"/>
          <w:szCs w:val="24"/>
          <w:u w:val="single"/>
        </w:rPr>
      </w:pPr>
      <w:r>
        <w:rPr>
          <w:rFonts w:cs="Calibri" w:cstheme="minorHAnsi"/>
          <w:bCs/>
          <w:iCs/>
          <w:color w:val="FF0000"/>
          <w:sz w:val="24"/>
          <w:szCs w:val="24"/>
        </w:rPr>
        <w:t xml:space="preserve">[indicare </w:t>
      </w:r>
      <w:r>
        <w:rPr>
          <w:rFonts w:cs="Calibri" w:cstheme="minorHAnsi"/>
          <w:bCs/>
          <w:iCs/>
          <w:color w:val="FF0000"/>
          <w:sz w:val="24"/>
          <w:szCs w:val="24"/>
          <w:u w:val="single"/>
        </w:rPr>
        <w:t>alternativamente</w:t>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r>
    </w:p>
    <w:p>
      <w:pPr>
        <w:pStyle w:val="ListParagraph"/>
        <w:ind w:left="0" w:hanging="0"/>
        <w:jc w:val="both"/>
        <w:rPr>
          <w:rFonts w:eastAsia="Times New Roman" w:cs="Calibri" w:cstheme="minorHAnsi"/>
          <w:bCs/>
          <w:color w:val="FF0000"/>
          <w:sz w:val="24"/>
          <w:szCs w:val="24"/>
          <w:lang w:eastAsia="it-IT"/>
        </w:rPr>
      </w:pPr>
      <w:r>
        <w:rPr>
          <w:rFonts w:eastAsia="Times New Roman" w:cs="Calibri" w:cstheme="minorHAnsi"/>
          <w:bCs/>
          <w:color w:val="FF0000"/>
          <w:sz w:val="24"/>
          <w:szCs w:val="24"/>
          <w:lang w:eastAsia="it-IT"/>
        </w:rPr>
        <w:t>una Dichiarazione sostituiva, come previsto dall’art. Art.[n.] dell’Avviso</w:t>
      </w:r>
    </w:p>
    <w:p>
      <w:pPr>
        <w:pStyle w:val="ListParagraph"/>
        <w:ind w:left="0" w:hanging="0"/>
        <w:jc w:val="both"/>
        <w:rPr>
          <w:rFonts w:eastAsia="Times New Roman" w:cs="Calibri" w:cstheme="minorHAnsi"/>
          <w:bCs/>
          <w:color w:val="FF0000"/>
          <w:sz w:val="24"/>
          <w:szCs w:val="24"/>
          <w:lang w:eastAsia="it-IT"/>
        </w:rPr>
      </w:pPr>
      <w:r>
        <w:rPr>
          <w:rFonts w:eastAsia="Times New Roman" w:cs="Calibri" w:cstheme="minorHAnsi"/>
          <w:bCs/>
          <w:color w:val="FF0000"/>
          <w:sz w:val="24"/>
          <w:szCs w:val="24"/>
          <w:lang w:eastAsia="it-IT"/>
        </w:rPr>
      </w:r>
    </w:p>
    <w:p>
      <w:pPr>
        <w:pStyle w:val="ListParagraph"/>
        <w:ind w:left="0" w:hanging="0"/>
        <w:jc w:val="both"/>
        <w:rPr>
          <w:rFonts w:cs="Calibri" w:cstheme="minorHAnsi"/>
          <w:b/>
          <w:b/>
          <w:i/>
          <w:i/>
          <w:iCs/>
          <w:color w:val="FF0000"/>
          <w:sz w:val="24"/>
          <w:szCs w:val="24"/>
          <w:u w:val="single"/>
        </w:rPr>
      </w:pPr>
      <w:r>
        <w:rPr>
          <w:rFonts w:cs="Calibri" w:cstheme="minorHAnsi"/>
          <w:b/>
          <w:i/>
          <w:iCs/>
          <w:color w:val="FF0000"/>
          <w:sz w:val="24"/>
          <w:szCs w:val="24"/>
          <w:u w:val="single"/>
        </w:rPr>
        <w:t>oppure</w:t>
      </w:r>
    </w:p>
    <w:p>
      <w:pPr>
        <w:pStyle w:val="ListParagraph"/>
        <w:ind w:left="0" w:hanging="0"/>
        <w:jc w:val="both"/>
        <w:rPr>
          <w:rFonts w:cs="Calibri" w:cstheme="minorHAnsi"/>
          <w:bCs/>
          <w:i/>
          <w:i/>
          <w:iCs/>
          <w:color w:val="FF0000"/>
          <w:sz w:val="24"/>
          <w:szCs w:val="24"/>
          <w:u w:val="single"/>
        </w:rPr>
      </w:pPr>
      <w:r>
        <w:rPr>
          <w:rFonts w:cs="Calibri" w:cstheme="minorHAnsi"/>
          <w:bCs/>
          <w:i/>
          <w:iCs/>
          <w:color w:val="FF0000"/>
          <w:sz w:val="24"/>
          <w:szCs w:val="24"/>
          <w:u w:val="single"/>
        </w:rPr>
      </w:r>
    </w:p>
    <w:p>
      <w:pPr>
        <w:pStyle w:val="ListParagraph"/>
        <w:ind w:left="0" w:hanging="0"/>
        <w:jc w:val="both"/>
        <w:rPr>
          <w:rFonts w:eastAsia="Times New Roman" w:cs="Calibri" w:cstheme="minorHAnsi"/>
          <w:bCs/>
          <w:color w:val="FF0000"/>
          <w:sz w:val="24"/>
          <w:szCs w:val="24"/>
          <w:u w:val="single"/>
          <w:lang w:eastAsia="it-IT"/>
        </w:rPr>
      </w:pPr>
      <w:r>
        <w:rPr>
          <w:rFonts w:eastAsia="Times New Roman" w:cs="Calibri" w:cstheme="minorHAnsi"/>
          <w:bCs/>
          <w:color w:val="FF0000"/>
          <w:sz w:val="24"/>
          <w:szCs w:val="24"/>
          <w:u w:val="single"/>
          <w:lang w:eastAsia="it-IT"/>
        </w:rPr>
        <w:t>le seguenti Dichiarazioni sostitutive:</w:t>
      </w:r>
    </w:p>
    <w:p>
      <w:pPr>
        <w:pStyle w:val="ListParagraph"/>
        <w:ind w:left="0" w:hanging="0"/>
        <w:jc w:val="both"/>
        <w:rPr>
          <w:rFonts w:eastAsia="Times New Roman" w:cs="Calibri" w:cstheme="minorHAnsi"/>
          <w:bCs/>
          <w:color w:val="FF0000"/>
          <w:sz w:val="24"/>
          <w:szCs w:val="24"/>
          <w:lang w:eastAsia="it-IT"/>
        </w:rPr>
      </w:pPr>
      <w:r>
        <w:rPr>
          <w:rFonts w:eastAsia="Times New Roman" w:cs="Calibri" w:cstheme="minorHAnsi"/>
          <w:bCs/>
          <w:color w:val="FF0000"/>
          <w:sz w:val="24"/>
          <w:szCs w:val="24"/>
          <w:lang w:eastAsia="it-IT"/>
        </w:rPr>
        <w:t>-</w:t>
      </w:r>
    </w:p>
    <w:p>
      <w:pPr>
        <w:pStyle w:val="ListParagraph"/>
        <w:ind w:left="0" w:hanging="0"/>
        <w:jc w:val="both"/>
        <w:rPr>
          <w:rFonts w:eastAsia="Times New Roman" w:cs="Calibri" w:cstheme="minorHAnsi"/>
          <w:bCs/>
          <w:color w:val="FF0000"/>
          <w:sz w:val="24"/>
          <w:szCs w:val="24"/>
          <w:lang w:eastAsia="it-IT"/>
        </w:rPr>
      </w:pPr>
      <w:r>
        <w:rPr>
          <w:rFonts w:eastAsia="Times New Roman" w:cs="Calibri" w:cstheme="minorHAnsi"/>
          <w:bCs/>
          <w:color w:val="FF0000"/>
          <w:sz w:val="24"/>
          <w:szCs w:val="24"/>
          <w:lang w:eastAsia="it-IT"/>
        </w:rPr>
        <w:t>-</w:t>
      </w:r>
    </w:p>
    <w:p>
      <w:pPr>
        <w:pStyle w:val="ListParagraph"/>
        <w:ind w:left="0" w:hanging="0"/>
        <w:jc w:val="both"/>
        <w:rPr>
          <w:rFonts w:eastAsia="Times New Roman" w:cs="Calibri" w:cstheme="minorHAnsi"/>
          <w:bCs/>
          <w:color w:val="FF0000"/>
          <w:sz w:val="24"/>
          <w:szCs w:val="24"/>
          <w:lang w:eastAsia="it-IT"/>
        </w:rPr>
      </w:pPr>
      <w:r>
        <w:rPr>
          <w:rFonts w:eastAsia="Times New Roman" w:cs="Calibri" w:cstheme="minorHAnsi"/>
          <w:bCs/>
          <w:color w:val="FF0000"/>
          <w:sz w:val="24"/>
          <w:szCs w:val="24"/>
          <w:lang w:eastAsia="it-IT"/>
        </w:rPr>
        <w:t>-    ].</w:t>
      </w:r>
    </w:p>
    <w:p>
      <w:pPr>
        <w:pStyle w:val="ListParagraph"/>
        <w:ind w:left="0" w:hanging="0"/>
        <w:jc w:val="both"/>
        <w:rPr>
          <w:rFonts w:eastAsia="Times New Roman" w:cs="Calibri" w:cstheme="minorHAnsi"/>
          <w:bCs/>
          <w:color w:val="FF0000"/>
          <w:sz w:val="24"/>
          <w:szCs w:val="24"/>
          <w:lang w:eastAsia="it-IT"/>
        </w:rPr>
      </w:pPr>
      <w:r>
        <w:rPr>
          <w:rFonts w:eastAsia="Times New Roman" w:cs="Calibri" w:cstheme="minorHAnsi"/>
          <w:bCs/>
          <w:color w:val="FF0000"/>
          <w:sz w:val="24"/>
          <w:szCs w:val="24"/>
          <w:lang w:eastAsia="it-IT"/>
        </w:rPr>
      </w:r>
    </w:p>
    <w:p>
      <w:pPr>
        <w:pStyle w:val="Normal"/>
        <w:spacing w:before="0" w:after="0"/>
        <w:jc w:val="both"/>
        <w:rPr>
          <w:rFonts w:cs="Calibri" w:cstheme="minorHAnsi"/>
          <w:bCs/>
          <w:iCs/>
          <w:color w:val="FF0000"/>
          <w:sz w:val="24"/>
          <w:szCs w:val="24"/>
          <w:u w:val="single"/>
        </w:rPr>
      </w:pPr>
      <w:r>
        <w:rPr>
          <w:rFonts w:cs="Calibri" w:cstheme="minorHAnsi"/>
          <w:bCs/>
          <w:iCs/>
          <w:color w:val="FF0000"/>
          <w:sz w:val="24"/>
          <w:szCs w:val="24"/>
        </w:rPr>
        <w:t xml:space="preserve">[indicare </w:t>
      </w:r>
      <w:r>
        <w:rPr>
          <w:rFonts w:cs="Calibri" w:cstheme="minorHAnsi"/>
          <w:bCs/>
          <w:iCs/>
          <w:color w:val="FF0000"/>
          <w:sz w:val="24"/>
          <w:szCs w:val="24"/>
          <w:u w:val="single"/>
        </w:rPr>
        <w:t>alternativamente</w:t>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r>
    </w:p>
    <w:p>
      <w:pPr>
        <w:pStyle w:val="ListParagraph"/>
        <w:ind w:left="0" w:hanging="0"/>
        <w:jc w:val="both"/>
        <w:rPr>
          <w:rFonts w:eastAsia="Times New Roman" w:cs="Calibri" w:cstheme="minorHAnsi"/>
          <w:bCs/>
          <w:color w:val="FF0000"/>
          <w:sz w:val="24"/>
          <w:szCs w:val="24"/>
          <w:lang w:eastAsia="it-IT"/>
        </w:rPr>
      </w:pPr>
      <w:r>
        <w:rPr>
          <w:rFonts w:cs="Calibri" w:cstheme="minorHAnsi"/>
          <w:bCs/>
          <w:color w:val="FF0000"/>
          <w:sz w:val="24"/>
          <w:szCs w:val="24"/>
        </w:rPr>
        <w:t>L’universo oggetto di campionamento è considerato unico, in ragione del fatto che si tratta sempre di una unica autocertificazione, allegata alla domanda.</w:t>
      </w:r>
    </w:p>
    <w:p>
      <w:pPr>
        <w:pStyle w:val="ListParagraph"/>
        <w:ind w:left="0" w:hanging="0"/>
        <w:jc w:val="both"/>
        <w:rPr>
          <w:rFonts w:cs="Calibri" w:cstheme="minorHAnsi"/>
          <w:bCs/>
          <w:color w:val="FF0000"/>
          <w:sz w:val="24"/>
          <w:szCs w:val="24"/>
        </w:rPr>
      </w:pPr>
      <w:r>
        <w:rPr>
          <w:rFonts w:cs="Calibri" w:cstheme="minorHAnsi"/>
          <w:bCs/>
          <w:color w:val="FF0000"/>
          <w:sz w:val="24"/>
          <w:szCs w:val="24"/>
        </w:rPr>
      </w:r>
    </w:p>
    <w:p>
      <w:pPr>
        <w:pStyle w:val="ListParagraph"/>
        <w:ind w:left="0" w:hanging="0"/>
        <w:jc w:val="both"/>
        <w:rPr>
          <w:rFonts w:cs="Calibri" w:cstheme="minorHAnsi"/>
          <w:b/>
          <w:b/>
          <w:i/>
          <w:i/>
          <w:iCs/>
          <w:color w:val="FF0000"/>
          <w:sz w:val="24"/>
          <w:szCs w:val="24"/>
          <w:u w:val="single"/>
        </w:rPr>
      </w:pPr>
      <w:r>
        <w:rPr>
          <w:rFonts w:cs="Calibri" w:cstheme="minorHAnsi"/>
          <w:b/>
          <w:i/>
          <w:iCs/>
          <w:color w:val="FF0000"/>
          <w:sz w:val="24"/>
          <w:szCs w:val="24"/>
          <w:u w:val="single"/>
        </w:rPr>
        <w:t>oppure</w:t>
      </w:r>
    </w:p>
    <w:p>
      <w:pPr>
        <w:pStyle w:val="ListParagraph"/>
        <w:ind w:left="0" w:hanging="0"/>
        <w:jc w:val="both"/>
        <w:rPr>
          <w:rFonts w:cs="Calibri" w:cstheme="minorHAnsi"/>
          <w:bCs/>
          <w:color w:val="FF0000"/>
          <w:sz w:val="24"/>
          <w:szCs w:val="24"/>
          <w:u w:val="single"/>
        </w:rPr>
      </w:pPr>
      <w:r>
        <w:rPr>
          <w:rFonts w:cs="Calibri" w:cstheme="minorHAnsi"/>
          <w:bCs/>
          <w:color w:val="FF0000"/>
          <w:sz w:val="24"/>
          <w:szCs w:val="24"/>
          <w:u w:val="single"/>
        </w:rPr>
      </w:r>
    </w:p>
    <w:p>
      <w:pPr>
        <w:pStyle w:val="ListParagraph"/>
        <w:ind w:left="0" w:hanging="0"/>
        <w:jc w:val="both"/>
        <w:rPr>
          <w:rFonts w:eastAsia="Times New Roman" w:cs="Calibri" w:cstheme="minorHAnsi"/>
          <w:bCs/>
          <w:color w:val="FF0000"/>
          <w:sz w:val="24"/>
          <w:szCs w:val="24"/>
          <w:u w:val="single"/>
          <w:lang w:eastAsia="it-IT"/>
        </w:rPr>
      </w:pPr>
      <w:r>
        <w:rPr>
          <w:rFonts w:cs="Calibri" w:cstheme="minorHAnsi"/>
          <w:bCs/>
          <w:color w:val="FF0000"/>
          <w:sz w:val="24"/>
          <w:szCs w:val="24"/>
          <w:u w:val="single"/>
        </w:rPr>
        <w:t>L’universo oggetto di campionamento è composto da n X strati, [esempio: coincidenti con le tipologie di dichiarazioni sostitutive adottate in ragione dei diversi destinatari previsti nell’Avviso]; per ogni strato verrà effettuata una autonoma identificazione dell’universo e della numerosità delle verifiche da effettuare.]</w:t>
      </w:r>
    </w:p>
    <w:p>
      <w:pPr>
        <w:pStyle w:val="Normal"/>
        <w:jc w:val="both"/>
        <w:rPr>
          <w:sz w:val="24"/>
          <w:szCs w:val="24"/>
        </w:rPr>
      </w:pPr>
      <w:r>
        <w:rPr>
          <w:rFonts w:cs="Calibri" w:cstheme="minorHAnsi"/>
          <w:bCs/>
          <w:sz w:val="24"/>
          <w:szCs w:val="24"/>
        </w:rPr>
        <w:t xml:space="preserve">Per determinare la </w:t>
      </w:r>
      <w:r>
        <w:rPr>
          <w:rFonts w:cs="Calibri" w:cstheme="minorHAnsi"/>
          <w:b/>
          <w:sz w:val="24"/>
          <w:szCs w:val="24"/>
        </w:rPr>
        <w:t>dimensione</w:t>
      </w:r>
      <w:r>
        <w:rPr>
          <w:rFonts w:cs="Calibri" w:cstheme="minorHAnsi"/>
          <w:bCs/>
          <w:sz w:val="24"/>
          <w:szCs w:val="24"/>
        </w:rPr>
        <w:t xml:space="preserve"> </w:t>
      </w:r>
      <w:r>
        <w:rPr>
          <w:rFonts w:cs="Calibri" w:cstheme="minorHAnsi"/>
          <w:b/>
          <w:sz w:val="24"/>
          <w:szCs w:val="24"/>
        </w:rPr>
        <w:t>del campione ed</w:t>
      </w:r>
      <w:r>
        <w:rPr>
          <w:rFonts w:cs="Calibri" w:cstheme="minorHAnsi"/>
          <w:bCs/>
          <w:sz w:val="24"/>
          <w:szCs w:val="24"/>
        </w:rPr>
        <w:t xml:space="preserve"> effettuare l’</w:t>
      </w:r>
      <w:r>
        <w:rPr>
          <w:rFonts w:cs="Calibri" w:cstheme="minorHAnsi"/>
          <w:b/>
          <w:sz w:val="24"/>
          <w:szCs w:val="24"/>
        </w:rPr>
        <w:t>estrazione</w:t>
      </w:r>
      <w:r>
        <w:rPr>
          <w:rFonts w:cs="Calibri" w:cstheme="minorHAnsi"/>
          <w:bCs/>
          <w:sz w:val="24"/>
          <w:szCs w:val="24"/>
        </w:rPr>
        <w:t xml:space="preserve"> dello stesso verrà utilizzato lo strumento denominato “</w:t>
      </w:r>
      <w:r>
        <w:rPr>
          <w:b/>
          <w:bCs/>
          <w:sz w:val="24"/>
          <w:szCs w:val="24"/>
        </w:rPr>
        <w:t>File campionamento</w:t>
      </w:r>
      <w:r>
        <w:rPr>
          <w:sz w:val="24"/>
          <w:szCs w:val="24"/>
        </w:rPr>
        <w:t>”, costituito dai seguenti fogli di lavoro:</w:t>
      </w:r>
    </w:p>
    <w:p>
      <w:pPr>
        <w:pStyle w:val="ListParagraph"/>
        <w:numPr>
          <w:ilvl w:val="0"/>
          <w:numId w:val="2"/>
        </w:numPr>
        <w:jc w:val="both"/>
        <w:rPr>
          <w:sz w:val="24"/>
          <w:szCs w:val="24"/>
        </w:rPr>
      </w:pPr>
      <w:r>
        <w:rPr>
          <w:sz w:val="24"/>
          <w:szCs w:val="24"/>
        </w:rPr>
        <w:t>COPERTINA</w:t>
      </w:r>
    </w:p>
    <w:p>
      <w:pPr>
        <w:pStyle w:val="ListParagraph"/>
        <w:numPr>
          <w:ilvl w:val="0"/>
          <w:numId w:val="2"/>
        </w:numPr>
        <w:jc w:val="both"/>
        <w:rPr>
          <w:sz w:val="24"/>
          <w:szCs w:val="24"/>
        </w:rPr>
      </w:pPr>
      <w:r>
        <w:rPr>
          <w:sz w:val="24"/>
          <w:szCs w:val="24"/>
        </w:rPr>
        <w:t>TAB CALCOLO ITEMS CAMPIONE</w:t>
      </w:r>
    </w:p>
    <w:p>
      <w:pPr>
        <w:pStyle w:val="ListParagraph"/>
        <w:numPr>
          <w:ilvl w:val="0"/>
          <w:numId w:val="2"/>
        </w:numPr>
        <w:jc w:val="both"/>
        <w:rPr>
          <w:sz w:val="24"/>
          <w:szCs w:val="24"/>
        </w:rPr>
      </w:pPr>
      <w:r>
        <w:rPr>
          <w:sz w:val="24"/>
          <w:szCs w:val="24"/>
        </w:rPr>
        <w:t>ESTRAZ CAMPIONE</w:t>
      </w:r>
    </w:p>
    <w:p>
      <w:pPr>
        <w:pStyle w:val="ListParagraph"/>
        <w:numPr>
          <w:ilvl w:val="0"/>
          <w:numId w:val="2"/>
        </w:numPr>
        <w:jc w:val="both"/>
        <w:rPr>
          <w:sz w:val="24"/>
          <w:szCs w:val="24"/>
        </w:rPr>
      </w:pPr>
      <w:r>
        <w:rPr>
          <w:sz w:val="24"/>
          <w:szCs w:val="24"/>
        </w:rPr>
        <w:t>UNIVERSO-CAMPIONE.]</w:t>
      </w:r>
    </w:p>
    <w:p>
      <w:pPr>
        <w:pStyle w:val="NormalWeb"/>
        <w:shd w:val="clear" w:color="auto" w:fill="FFFFFF"/>
        <w:spacing w:beforeAutospacing="0" w:before="280" w:afterAutospacing="0" w:after="0"/>
        <w:jc w:val="both"/>
        <w:rPr>
          <w:rFonts w:ascii="Calibri" w:hAnsi="Calibri" w:cs="Calibri" w:asciiTheme="minorHAnsi" w:cstheme="minorHAnsi" w:hAnsiTheme="minorHAnsi"/>
          <w:iCs/>
          <w:highlight w:val="white"/>
        </w:rPr>
      </w:pPr>
      <w:r>
        <w:rPr>
          <w:rFonts w:cs="Calibri" w:cstheme="minorHAnsi" w:ascii="Calibri" w:hAnsi="Calibri"/>
          <w:iCs/>
          <w:highlight w:val="white"/>
        </w:rPr>
      </w:r>
    </w:p>
    <w:p>
      <w:pPr>
        <w:pStyle w:val="NormalWeb"/>
        <w:shd w:val="clear" w:color="auto" w:fill="FFFFFF"/>
        <w:spacing w:beforeAutospacing="0" w:before="280" w:afterAutospacing="0" w:after="0"/>
        <w:jc w:val="both"/>
        <w:rPr>
          <w:rFonts w:ascii="Calibri" w:hAnsi="Calibri" w:cs="Calibri" w:asciiTheme="minorHAnsi" w:cstheme="minorHAnsi" w:hAnsiTheme="minorHAnsi"/>
          <w:iCs/>
          <w:highlight w:val="white"/>
        </w:rPr>
      </w:pPr>
      <w:r>
        <w:rPr>
          <w:rFonts w:cs="Calibri" w:ascii="Calibri" w:hAnsi="Calibri" w:asciiTheme="minorHAnsi" w:cstheme="minorHAnsi" w:hAnsiTheme="minorHAnsi"/>
          <w:iCs/>
          <w:shd w:fill="FFFFFF" w:val="clear"/>
        </w:rPr>
        <w:t xml:space="preserve">La </w:t>
      </w:r>
      <w:r>
        <w:rPr>
          <w:rFonts w:cs="Calibri" w:ascii="Calibri" w:hAnsi="Calibri" w:asciiTheme="minorHAnsi" w:cstheme="minorHAnsi" w:hAnsiTheme="minorHAnsi"/>
          <w:b/>
          <w:bCs/>
          <w:iCs/>
          <w:shd w:fill="FFFFFF" w:val="clear"/>
        </w:rPr>
        <w:t>dimensione del campione</w:t>
      </w:r>
      <w:r>
        <w:rPr>
          <w:rFonts w:cs="Calibri" w:ascii="Calibri" w:hAnsi="Calibri" w:asciiTheme="minorHAnsi" w:cstheme="minorHAnsi" w:hAnsiTheme="minorHAnsi"/>
          <w:iCs/>
          <w:shd w:fill="FFFFFF" w:val="clear"/>
        </w:rPr>
        <w:t xml:space="preserve"> è calcolata utilizzando la “TAB CALCOLO ITEMS CAMPIONE”, di seguito riportata. </w:t>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000000"/>
          <w:highlight w:val="white"/>
        </w:rPr>
      </w:pPr>
      <w:r>
        <w:rPr>
          <w:rFonts w:cs="Calibri" w:cstheme="minorHAnsi" w:ascii="Calibri" w:hAnsi="Calibri"/>
          <w:iCs/>
          <w:color w:val="000000"/>
          <w:highlight w:val="white"/>
        </w:rPr>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FF0000"/>
          <w:highlight w:val="white"/>
        </w:rPr>
      </w:pPr>
      <w:r>
        <w:rPr>
          <w:rFonts w:cs="Calibri" w:ascii="Calibri" w:hAnsi="Calibri" w:asciiTheme="minorHAnsi" w:cstheme="minorHAnsi" w:hAnsiTheme="minorHAnsi"/>
          <w:iCs/>
          <w:color w:val="FF0000"/>
          <w:shd w:fill="FFFFFF" w:val="clear"/>
        </w:rPr>
        <w:t>Scegliere fra Tabella A e B (e successivamente eliminare i titoli)</w:t>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FF0000"/>
          <w:highlight w:val="white"/>
        </w:rPr>
      </w:pPr>
      <w:r>
        <w:rPr>
          <w:rFonts w:cs="Calibri" w:cstheme="minorHAnsi" w:ascii="Calibri" w:hAnsi="Calibri"/>
          <w:iCs/>
          <w:color w:val="FF0000"/>
          <w:highlight w:val="white"/>
        </w:rPr>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FF0000"/>
          <w:highlight w:val="white"/>
        </w:rPr>
      </w:pPr>
      <w:r>
        <w:rPr>
          <w:rFonts w:cs="Calibri" w:cstheme="minorHAnsi" w:ascii="Calibri" w:hAnsi="Calibri"/>
          <w:iCs/>
          <w:color w:val="FF0000"/>
          <w:highlight w:val="white"/>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t>Tabella A –Dimensione del campione</w:t>
      </w:r>
    </w:p>
    <w:p>
      <w:pPr>
        <w:pStyle w:val="NormalWeb"/>
        <w:shd w:val="clear" w:color="auto" w:fill="FFFFFF"/>
        <w:spacing w:beforeAutospacing="0" w:before="280" w:afterAutospacing="0" w:after="0"/>
        <w:jc w:val="both"/>
        <w:rPr>
          <w:rFonts w:ascii="Calibri" w:hAnsi="Calibri" w:cs="Calibri" w:asciiTheme="minorHAnsi" w:cstheme="minorHAnsi" w:hAnsiTheme="minorHAnsi"/>
          <w:iCs/>
          <w:highlight w:val="white"/>
        </w:rPr>
      </w:pPr>
      <w:r>
        <w:rPr>
          <w:rFonts w:cs="Calibri" w:cstheme="minorHAnsi" w:ascii="Calibri" w:hAnsi="Calibri"/>
          <w:iCs/>
          <w:highlight w:val="white"/>
        </w:rPr>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FF0000"/>
          <w:highlight w:val="white"/>
        </w:rPr>
      </w:pPr>
      <w:r>
        <w:rPr/>
        <w:drawing>
          <wp:inline distT="0" distB="0" distL="0" distR="0">
            <wp:extent cx="6120130" cy="1872615"/>
            <wp:effectExtent l="0" t="0" r="0" b="0"/>
            <wp:docPr id="1"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
                    <pic:cNvPicPr>
                      <a:picLocks noChangeAspect="1" noChangeArrowheads="1"/>
                    </pic:cNvPicPr>
                  </pic:nvPicPr>
                  <pic:blipFill>
                    <a:blip r:embed="rId2"/>
                    <a:stretch>
                      <a:fillRect/>
                    </a:stretch>
                  </pic:blipFill>
                  <pic:spPr bwMode="auto">
                    <a:xfrm>
                      <a:off x="0" y="0"/>
                      <a:ext cx="6120130" cy="1872615"/>
                    </a:xfrm>
                    <a:prstGeom prst="rect">
                      <a:avLst/>
                    </a:prstGeom>
                  </pic:spPr>
                </pic:pic>
              </a:graphicData>
            </a:graphic>
          </wp:inline>
        </w:drawing>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000000"/>
          <w:highlight w:val="green"/>
        </w:rPr>
      </w:pPr>
      <w:r>
        <w:rPr>
          <w:rFonts w:cs="Calibri" w:cstheme="minorHAnsi" w:ascii="Calibri" w:hAnsi="Calibri"/>
          <w:iCs/>
          <w:color w:val="000000"/>
          <w:highlight w:val="green"/>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t>Tabella B –Dimensione del campione</w:t>
      </w:r>
    </w:p>
    <w:p>
      <w:pPr>
        <w:pStyle w:val="NormalWeb"/>
        <w:shd w:val="clear" w:color="auto" w:fill="FFFFFF"/>
        <w:spacing w:beforeAutospacing="0" w:before="280" w:afterAutospacing="0" w:after="0"/>
        <w:jc w:val="both"/>
        <w:rPr>
          <w:rFonts w:ascii="Calibri" w:hAnsi="Calibri" w:cs="Calibri" w:cstheme="minorHAnsi"/>
          <w:iCs/>
          <w:color w:val="000000"/>
          <w:highlight w:val="white"/>
        </w:rPr>
      </w:pPr>
      <w:r>
        <w:rPr>
          <w:rFonts w:cs="Calibri" w:cstheme="minorHAnsi" w:ascii="Calibri" w:hAnsi="Calibri"/>
          <w:iCs/>
          <w:color w:val="000000"/>
          <w:highlight w:val="white"/>
        </w:rPr>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000000"/>
          <w:highlight w:val="white"/>
        </w:rPr>
      </w:pPr>
      <w:r>
        <w:rPr/>
        <w:drawing>
          <wp:inline distT="0" distB="0" distL="0" distR="0">
            <wp:extent cx="6120130" cy="1979295"/>
            <wp:effectExtent l="0" t="0" r="0" b="0"/>
            <wp:docPr id="2"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
                    <pic:cNvPicPr>
                      <a:picLocks noChangeAspect="1" noChangeArrowheads="1"/>
                    </pic:cNvPicPr>
                  </pic:nvPicPr>
                  <pic:blipFill>
                    <a:blip r:embed="rId3"/>
                    <a:stretch>
                      <a:fillRect/>
                    </a:stretch>
                  </pic:blipFill>
                  <pic:spPr bwMode="auto">
                    <a:xfrm>
                      <a:off x="0" y="0"/>
                      <a:ext cx="6120130" cy="1979295"/>
                    </a:xfrm>
                    <a:prstGeom prst="rect">
                      <a:avLst/>
                    </a:prstGeom>
                  </pic:spPr>
                </pic:pic>
              </a:graphicData>
            </a:graphic>
          </wp:inline>
        </w:drawing>
      </w:r>
    </w:p>
    <w:p>
      <w:pPr>
        <w:pStyle w:val="ListParagraph"/>
        <w:ind w:left="0" w:hanging="0"/>
        <w:jc w:val="both"/>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Normal"/>
        <w:tabs>
          <w:tab w:val="clear" w:pos="720"/>
          <w:tab w:val="left" w:pos="370" w:leader="none"/>
          <w:tab w:val="right" w:pos="9638" w:leader="none"/>
        </w:tabs>
        <w:spacing w:lineRule="auto" w:line="240" w:before="0" w:after="0"/>
        <w:jc w:val="both"/>
        <w:rPr>
          <w:rFonts w:cs="Calibri" w:cstheme="minorHAnsi"/>
          <w:bCs/>
          <w:sz w:val="24"/>
          <w:szCs w:val="24"/>
        </w:rPr>
      </w:pPr>
      <w:r>
        <w:rPr>
          <w:rFonts w:cs="Calibri" w:cstheme="minorHAnsi"/>
          <w:bCs/>
          <w:sz w:val="24"/>
          <w:szCs w:val="24"/>
        </w:rPr>
      </w:r>
      <w:bookmarkStart w:id="6" w:name="_Hlk645539311"/>
      <w:bookmarkStart w:id="7" w:name="_Hlk64553931"/>
      <w:bookmarkStart w:id="8" w:name="_Hlk645539311"/>
      <w:bookmarkStart w:id="9" w:name="_Hlk64553931"/>
      <w:bookmarkEnd w:id="8"/>
      <w:bookmarkEnd w:id="9"/>
    </w:p>
    <w:p>
      <w:pPr>
        <w:pStyle w:val="Normal"/>
        <w:tabs>
          <w:tab w:val="clear" w:pos="720"/>
          <w:tab w:val="right" w:pos="9638" w:leader="none"/>
        </w:tabs>
        <w:spacing w:lineRule="auto" w:line="240" w:before="0" w:after="0"/>
        <w:jc w:val="both"/>
        <w:rPr>
          <w:rFonts w:cs="Calibri" w:cstheme="minorHAnsi"/>
          <w:bCs/>
          <w:sz w:val="24"/>
          <w:szCs w:val="24"/>
        </w:rPr>
      </w:pPr>
      <w:r>
        <w:rPr>
          <w:rFonts w:cs="Calibri" w:cstheme="minorHAnsi"/>
          <w:bCs/>
          <w:sz w:val="24"/>
          <w:szCs w:val="24"/>
        </w:rPr>
        <w:t>L’</w:t>
      </w:r>
      <w:r>
        <w:rPr>
          <w:rFonts w:cs="Calibri" w:cstheme="minorHAnsi"/>
          <w:b/>
          <w:sz w:val="24"/>
          <w:szCs w:val="24"/>
        </w:rPr>
        <w:t>elenco degli elementi</w:t>
      </w:r>
      <w:r>
        <w:rPr>
          <w:rFonts w:cs="Calibri" w:cstheme="minorHAnsi"/>
          <w:bCs/>
          <w:sz w:val="24"/>
          <w:szCs w:val="24"/>
        </w:rPr>
        <w:t xml:space="preserve"> della popolazione sulla base del quale effettuare l’estrazione, numerato da 1 a N, verrà riportato sul foglio di lavoro denominato “</w:t>
      </w:r>
      <w:r>
        <w:rPr>
          <w:sz w:val="24"/>
          <w:szCs w:val="24"/>
        </w:rPr>
        <w:t>UNIVERSO-CAMPIONE”.</w:t>
      </w:r>
      <w:bookmarkStart w:id="10" w:name="_Hlk64969441"/>
      <w:bookmarkEnd w:id="10"/>
    </w:p>
    <w:p>
      <w:pPr>
        <w:pStyle w:val="Normal"/>
        <w:jc w:val="both"/>
        <w:rPr>
          <w:rFonts w:cs="Calibri" w:cstheme="minorHAnsi"/>
          <w:bCs/>
          <w:sz w:val="24"/>
          <w:szCs w:val="24"/>
        </w:rPr>
      </w:pPr>
      <w:r>
        <w:rPr>
          <w:rFonts w:cs="Calibri" w:cstheme="minorHAnsi"/>
          <w:bCs/>
          <w:sz w:val="24"/>
          <w:szCs w:val="24"/>
        </w:rPr>
      </w:r>
    </w:p>
    <w:p>
      <w:pPr>
        <w:pStyle w:val="ListParagraph"/>
        <w:ind w:left="0" w:hanging="0"/>
        <w:jc w:val="both"/>
        <w:rPr>
          <w:rFonts w:eastAsia="Times New Roman" w:cs="Calibri" w:cstheme="minorHAnsi"/>
          <w:b/>
          <w:b/>
          <w:sz w:val="24"/>
          <w:szCs w:val="24"/>
          <w:lang w:eastAsia="it-IT"/>
        </w:rPr>
      </w:pPr>
      <w:r>
        <w:rPr>
          <w:rFonts w:eastAsia="Times New Roman" w:cs="Calibri" w:cstheme="minorHAnsi"/>
          <w:sz w:val="24"/>
          <w:szCs w:val="24"/>
          <w:lang w:eastAsia="it-IT"/>
        </w:rPr>
        <w:t xml:space="preserve">La modalità di estrazione del campione utilizzata sarà </w:t>
      </w:r>
      <w:r>
        <w:rPr>
          <w:rFonts w:eastAsia="Times New Roman" w:cs="Calibri" w:cstheme="minorHAnsi"/>
          <w:b/>
          <w:sz w:val="24"/>
          <w:szCs w:val="24"/>
          <w:lang w:eastAsia="it-IT"/>
        </w:rPr>
        <w:t>di tipo casuale semplice, senza ripetizione da un dato intervallo di numeri interi consecutivi</w:t>
      </w:r>
      <w:r>
        <w:rPr>
          <w:rFonts w:eastAsia="Times New Roman" w:cs="Calibri" w:cstheme="minorHAnsi"/>
          <w:bCs/>
          <w:sz w:val="24"/>
          <w:szCs w:val="24"/>
          <w:lang w:eastAsia="it-IT"/>
        </w:rPr>
        <w:t>.</w:t>
      </w:r>
    </w:p>
    <w:p>
      <w:pPr>
        <w:pStyle w:val="Normal"/>
        <w:jc w:val="both"/>
        <w:rPr>
          <w:rFonts w:cs="Calibri" w:cstheme="minorHAnsi"/>
          <w:bCs/>
          <w:sz w:val="24"/>
          <w:szCs w:val="24"/>
        </w:rPr>
      </w:pPr>
      <w:r>
        <w:rPr>
          <w:rFonts w:cs="Calibri" w:cstheme="minorHAnsi"/>
          <w:bCs/>
          <w:sz w:val="24"/>
          <w:szCs w:val="24"/>
        </w:rPr>
        <w:t>L’</w:t>
      </w:r>
      <w:r>
        <w:rPr>
          <w:rFonts w:cs="Calibri" w:cstheme="minorHAnsi"/>
          <w:b/>
          <w:sz w:val="24"/>
          <w:szCs w:val="24"/>
        </w:rPr>
        <w:t>estrazione</w:t>
      </w:r>
      <w:r>
        <w:rPr>
          <w:rFonts w:cs="Calibri" w:cstheme="minorHAnsi"/>
          <w:bCs/>
          <w:sz w:val="24"/>
          <w:szCs w:val="24"/>
        </w:rPr>
        <w:t xml:space="preserve"> verrà effettuata utilizzando il foglio di lavoro denominato “</w:t>
      </w:r>
      <w:r>
        <w:rPr>
          <w:sz w:val="24"/>
          <w:szCs w:val="24"/>
        </w:rPr>
        <w:t xml:space="preserve">ESTRAZ CAMPIONE”. I numeri estratti saranno automaticamente riportati sul foglio </w:t>
      </w:r>
      <w:r>
        <w:rPr>
          <w:rFonts w:cs="Calibri" w:cstheme="minorHAnsi"/>
          <w:bCs/>
          <w:sz w:val="24"/>
          <w:szCs w:val="24"/>
        </w:rPr>
        <w:t>denominato “</w:t>
      </w:r>
      <w:r>
        <w:rPr>
          <w:sz w:val="24"/>
          <w:szCs w:val="24"/>
        </w:rPr>
        <w:t>UNIVERSO-CAMPIONE”.</w:t>
      </w:r>
    </w:p>
    <w:p>
      <w:pPr>
        <w:pStyle w:val="Normal"/>
        <w:jc w:val="both"/>
        <w:rPr>
          <w:rFonts w:cs="Calibri" w:cstheme="minorHAnsi"/>
          <w:bCs/>
          <w:sz w:val="24"/>
          <w:szCs w:val="24"/>
          <w:highlight w:val="white"/>
        </w:rPr>
      </w:pPr>
      <w:r>
        <w:rPr>
          <w:rFonts w:cs="Calibri" w:cstheme="minorHAnsi"/>
          <w:bCs/>
          <w:sz w:val="24"/>
          <w:szCs w:val="24"/>
          <w:shd w:fill="FFFFFF" w:val="clear"/>
        </w:rPr>
        <w:t xml:space="preserve">Allo scopo di documentare le attività effettuate verrà predisposto un </w:t>
      </w:r>
      <w:r>
        <w:rPr>
          <w:rFonts w:cs="Calibri" w:cstheme="minorHAnsi"/>
          <w:b/>
          <w:sz w:val="24"/>
          <w:szCs w:val="24"/>
          <w:shd w:fill="FFFFFF" w:val="clear"/>
        </w:rPr>
        <w:t>Verbale di campionamento</w:t>
      </w:r>
      <w:r>
        <w:rPr>
          <w:rFonts w:cs="Calibri" w:cstheme="minorHAnsi"/>
          <w:bCs/>
          <w:sz w:val="24"/>
          <w:szCs w:val="24"/>
          <w:shd w:fill="FFFFFF" w:val="clear"/>
        </w:rPr>
        <w:t xml:space="preserve"> (Allegato 5), che darà conto della metodologia adottata, dell’universo della popolazione e del campione estratto.</w:t>
      </w:r>
    </w:p>
    <w:p>
      <w:pPr>
        <w:pStyle w:val="Normal"/>
        <w:jc w:val="both"/>
        <w:rPr>
          <w:rFonts w:cs="Calibri" w:cstheme="minorHAnsi"/>
          <w:bCs/>
          <w:sz w:val="24"/>
          <w:szCs w:val="24"/>
        </w:rPr>
      </w:pPr>
      <w:r>
        <w:rPr>
          <w:rFonts w:cs="Calibri" w:cstheme="minorHAnsi"/>
          <w:bCs/>
          <w:sz w:val="24"/>
          <w:szCs w:val="24"/>
        </w:rPr>
        <w:t>Le tabelle e i fogli di lavoro utilizzati (Allegato 4), stampati in PDF, saranno allegati al predetto Verbale di campionamento.</w:t>
      </w:r>
    </w:p>
    <w:p>
      <w:pPr>
        <w:pStyle w:val="Normal"/>
        <w:tabs>
          <w:tab w:val="clear" w:pos="720"/>
          <w:tab w:val="left" w:pos="370" w:leader="none"/>
          <w:tab w:val="right" w:pos="9638" w:leader="none"/>
        </w:tabs>
        <w:spacing w:lineRule="auto" w:line="240" w:before="0" w:after="0"/>
        <w:jc w:val="both"/>
        <w:rPr>
          <w:rFonts w:cs="Calibri" w:cstheme="minorHAnsi"/>
          <w:bCs/>
          <w:sz w:val="24"/>
          <w:szCs w:val="24"/>
        </w:rPr>
      </w:pPr>
      <w:r>
        <w:rPr>
          <w:rFonts w:cs="Calibri" w:cstheme="minorHAnsi"/>
          <w:bCs/>
          <w:sz w:val="24"/>
          <w:szCs w:val="24"/>
        </w:rPr>
        <w:t xml:space="preserve">In ultimo, gli esiti del controllo delle dichiarazioni sostitutive campionate verranno riportati in una check list di verifica (Allegato 1). </w:t>
      </w:r>
    </w:p>
    <w:p>
      <w:pPr>
        <w:pStyle w:val="Normal"/>
        <w:spacing w:before="0" w:after="0"/>
        <w:rPr/>
      </w:pPr>
      <w:r>
        <w:rPr/>
      </w:r>
    </w:p>
    <w:p>
      <w:pPr>
        <w:pStyle w:val="Normal"/>
        <w:spacing w:before="0" w:after="0"/>
        <w:rPr/>
      </w:pPr>
      <w:r>
        <w:rPr/>
      </w:r>
    </w:p>
    <w:p>
      <w:pPr>
        <w:pStyle w:val="Titolo1"/>
        <w:jc w:val="both"/>
        <w:rPr>
          <w:rFonts w:ascii="Calibri" w:hAnsi="Calibri" w:cs="Calibri" w:asciiTheme="minorHAnsi" w:cstheme="minorHAnsi" w:hAnsiTheme="minorHAnsi"/>
          <w:b/>
          <w:b/>
          <w:bCs/>
          <w:sz w:val="26"/>
          <w:szCs w:val="26"/>
        </w:rPr>
      </w:pPr>
      <w:r>
        <w:rPr>
          <w:rFonts w:cs="Calibri" w:cstheme="minorHAnsi" w:ascii="Calibri" w:hAnsi="Calibri"/>
          <w:b/>
          <w:bCs/>
          <w:sz w:val="26"/>
          <w:szCs w:val="26"/>
        </w:rPr>
      </w:r>
    </w:p>
    <w:p>
      <w:pPr>
        <w:pStyle w:val="Titolo1"/>
        <w:numPr>
          <w:ilvl w:val="0"/>
          <w:numId w:val="1"/>
        </w:numPr>
        <w:ind w:left="426" w:hanging="360"/>
        <w:jc w:val="both"/>
        <w:rPr>
          <w:rFonts w:ascii="Calibri" w:hAnsi="Calibri" w:cs="Calibri" w:asciiTheme="minorHAnsi" w:cstheme="minorHAnsi" w:hAnsiTheme="minorHAnsi"/>
          <w:b/>
          <w:b/>
          <w:bCs/>
          <w:sz w:val="26"/>
          <w:szCs w:val="26"/>
        </w:rPr>
      </w:pPr>
      <w:bookmarkStart w:id="11" w:name="_Toc71532103"/>
      <w:r>
        <w:rPr>
          <w:rFonts w:cs="Calibri" w:ascii="Calibri" w:hAnsi="Calibri" w:asciiTheme="minorHAnsi" w:cstheme="minorHAnsi" w:hAnsiTheme="minorHAnsi"/>
          <w:b/>
          <w:bCs/>
          <w:sz w:val="26"/>
          <w:szCs w:val="26"/>
        </w:rPr>
        <w:t>Mezzi istruttori e modalità di svolgimento delle verifiche</w:t>
      </w:r>
      <w:bookmarkStart w:id="12" w:name="_Hlk65681930"/>
      <w:bookmarkEnd w:id="11"/>
      <w:bookmarkEnd w:id="12"/>
    </w:p>
    <w:p>
      <w:pPr>
        <w:pStyle w:val="Normal"/>
        <w:spacing w:before="0" w:after="0"/>
        <w:rPr/>
      </w:pPr>
      <w:r>
        <w:rPr/>
      </w:r>
    </w:p>
    <w:p>
      <w:pPr>
        <w:pStyle w:val="Grassetto"/>
        <w:shd w:val="clear" w:color="auto" w:fill="FFFFFF"/>
        <w:spacing w:beforeAutospacing="0" w:before="280" w:afterAutospacing="0" w:after="0"/>
        <w:jc w:val="both"/>
        <w:rPr>
          <w:rFonts w:ascii="Calibri" w:hAnsi="Calibri" w:asciiTheme="minorHAnsi" w:hAnsiTheme="minorHAnsi"/>
        </w:rPr>
      </w:pPr>
      <w:r>
        <w:rPr>
          <w:rFonts w:ascii="Calibri" w:hAnsi="Calibri" w:asciiTheme="minorHAnsi" w:hAnsiTheme="minorHAnsi"/>
        </w:rPr>
        <w:t xml:space="preserve">I controlli relativi alle dichiarazioni sostitutive di certificazione saranno effettuati dal </w:t>
      </w:r>
      <w:r>
        <w:rPr>
          <w:rFonts w:cs="Calibri" w:ascii="Calibri" w:hAnsi="Calibri" w:asciiTheme="minorHAnsi" w:cstheme="minorHAnsi" w:hAnsiTheme="minorHAnsi"/>
          <w:color w:val="FF0000"/>
        </w:rPr>
        <w:t>[indicare il servizio incaricato]</w:t>
      </w:r>
      <w:r>
        <w:rPr>
          <w:rFonts w:cs="Calibri" w:ascii="Calibri" w:hAnsi="Calibri" w:asciiTheme="minorHAnsi" w:cstheme="minorHAnsi" w:hAnsiTheme="minorHAnsi"/>
        </w:rPr>
        <w:t>,</w:t>
      </w:r>
      <w:r>
        <w:rPr/>
        <w:t xml:space="preserve"> </w:t>
      </w:r>
      <w:r>
        <w:rPr>
          <w:rFonts w:ascii="Calibri" w:hAnsi="Calibri" w:asciiTheme="minorHAnsi" w:hAnsiTheme="minorHAnsi"/>
        </w:rPr>
        <w:t>secondo le modalità previste dall’articolo 43 D.P.R. 455/2000, consultando direttamente gli archivi dell’amministrazione certificante, ovvero richiedendo alla medesima, anche attraverso strumenti informatici o telematici, conferma scritta della corrispondenza di quanto dichiarato con le risultanze dei registri da questa custoditi.</w:t>
      </w:r>
    </w:p>
    <w:p>
      <w:pPr>
        <w:pStyle w:val="Grassetto"/>
        <w:shd w:val="clear" w:color="auto" w:fill="FFFFFF"/>
        <w:spacing w:beforeAutospacing="0" w:before="280" w:afterAutospacing="0" w:after="0"/>
        <w:jc w:val="both"/>
        <w:rPr>
          <w:rFonts w:ascii="Calibri" w:hAnsi="Calibri" w:asciiTheme="minorHAnsi" w:hAnsiTheme="minorHAnsi"/>
        </w:rPr>
      </w:pPr>
      <w:r>
        <w:rPr>
          <w:rFonts w:ascii="Calibri" w:hAnsi="Calibri" w:asciiTheme="minorHAnsi" w:hAnsiTheme="minorHAnsi"/>
        </w:rPr>
        <w:t>A riguardo il Servizio ha previsto l’utilizzo di protocolli di colloquio/canali di comunicazione con le Amministrazioni certificanti interessate.</w:t>
      </w:r>
    </w:p>
    <w:p>
      <w:pPr>
        <w:pStyle w:val="Grassetto"/>
        <w:shd w:val="clear" w:color="auto" w:fill="FFFFFF"/>
        <w:spacing w:beforeAutospacing="0" w:before="280" w:afterAutospacing="0" w:after="0"/>
        <w:jc w:val="both"/>
        <w:rPr>
          <w:rFonts w:ascii="Calibri" w:hAnsi="Calibri" w:asciiTheme="minorHAnsi" w:hAnsiTheme="minorHAnsi"/>
          <w:iCs/>
          <w:strike/>
          <w:highlight w:val="red"/>
        </w:rPr>
      </w:pPr>
      <w:r>
        <w:rPr>
          <w:rFonts w:asciiTheme="minorHAnsi" w:hAnsiTheme="minorHAnsi" w:ascii="Calibri" w:hAnsi="Calibri"/>
          <w:iCs/>
          <w:strike/>
          <w:highlight w:val="red"/>
        </w:rPr>
      </w:r>
    </w:p>
    <w:p>
      <w:pPr>
        <w:pStyle w:val="Grassetto"/>
        <w:shd w:val="clear" w:color="auto" w:fill="FFFFFF"/>
        <w:spacing w:beforeAutospacing="0" w:before="280" w:afterAutospacing="0" w:after="0"/>
        <w:jc w:val="both"/>
        <w:rPr>
          <w:rFonts w:ascii="Calibri" w:hAnsi="Calibri" w:asciiTheme="minorHAnsi" w:hAnsiTheme="minorHAnsi"/>
          <w:iCs/>
        </w:rPr>
      </w:pPr>
      <w:r>
        <w:rPr>
          <w:rFonts w:ascii="Calibri" w:hAnsi="Calibri" w:asciiTheme="minorHAnsi" w:hAnsiTheme="minorHAnsi"/>
        </w:rPr>
        <w:t xml:space="preserve">Una volta inviata la richiesta e trascorsi </w:t>
      </w:r>
      <w:r>
        <w:rPr>
          <w:rFonts w:ascii="Calibri" w:hAnsi="Calibri" w:asciiTheme="minorHAnsi" w:hAnsiTheme="minorHAnsi"/>
          <w:iCs/>
        </w:rPr>
        <w:t>30 giorni senza risposta, il silenzio verrà interpretato come conferma dei dati autocertificati dal destinatario (L. 124/2015), così come indicato anche dalla Linea Guida ANPAL “</w:t>
      </w:r>
      <w:r>
        <w:rPr>
          <w:rFonts w:ascii="Calibri" w:hAnsi="Calibri" w:asciiTheme="minorHAnsi" w:hAnsiTheme="minorHAnsi"/>
          <w:i/>
        </w:rPr>
        <w:t>Quadro di riferimento per gli interventi FSE da attuare in risposta al COVID 19</w:t>
      </w:r>
      <w:r>
        <w:rPr>
          <w:rFonts w:ascii="Calibri" w:hAnsi="Calibri" w:asciiTheme="minorHAnsi" w:hAnsiTheme="minorHAnsi"/>
          <w:iCs/>
        </w:rPr>
        <w:t>”.</w:t>
      </w:r>
    </w:p>
    <w:p>
      <w:pPr>
        <w:pStyle w:val="Grassetto"/>
        <w:shd w:val="clear" w:color="auto" w:fill="FFFFFF"/>
        <w:spacing w:beforeAutospacing="0" w:before="280" w:afterAutospacing="0" w:after="0"/>
        <w:jc w:val="both"/>
        <w:rPr>
          <w:rFonts w:ascii="Calibri" w:hAnsi="Calibri" w:asciiTheme="minorHAnsi" w:hAnsiTheme="minorHAnsi"/>
          <w:iCs/>
        </w:rPr>
      </w:pPr>
      <w:r>
        <w:rPr>
          <w:rFonts w:asciiTheme="minorHAnsi" w:hAnsiTheme="minorHAnsi" w:ascii="Calibri" w:hAnsi="Calibri"/>
          <w:iCs/>
        </w:rPr>
      </w:r>
    </w:p>
    <w:p>
      <w:pPr>
        <w:pStyle w:val="Grassetto"/>
        <w:shd w:val="clear" w:color="auto" w:fill="FFFFFF"/>
        <w:spacing w:beforeAutospacing="0" w:before="280" w:afterAutospacing="0" w:after="0"/>
        <w:jc w:val="both"/>
        <w:rPr>
          <w:rFonts w:ascii="Calibri" w:hAnsi="Calibri" w:asciiTheme="minorHAnsi" w:hAnsiTheme="minorHAnsi"/>
          <w:iCs/>
        </w:rPr>
      </w:pPr>
      <w:r>
        <w:rPr>
          <w:rFonts w:asciiTheme="minorHAnsi" w:hAnsiTheme="minorHAnsi" w:ascii="Calibri" w:hAnsi="Calibri"/>
          <w:iCs/>
        </w:rPr>
      </w:r>
    </w:p>
    <w:p>
      <w:pPr>
        <w:pStyle w:val="Titolo1"/>
        <w:numPr>
          <w:ilvl w:val="0"/>
          <w:numId w:val="1"/>
        </w:numPr>
        <w:ind w:left="426" w:hanging="360"/>
        <w:jc w:val="both"/>
        <w:rPr>
          <w:rFonts w:ascii="Calibri" w:hAnsi="Calibri" w:cs="Calibri" w:asciiTheme="minorHAnsi" w:cstheme="minorHAnsi" w:hAnsiTheme="minorHAnsi"/>
          <w:b/>
          <w:b/>
          <w:bCs/>
          <w:sz w:val="26"/>
          <w:szCs w:val="26"/>
        </w:rPr>
      </w:pPr>
      <w:bookmarkStart w:id="13" w:name="_Toc71532104"/>
      <w:r>
        <w:rPr>
          <w:rFonts w:cs="Calibri" w:ascii="Calibri" w:hAnsi="Calibri" w:asciiTheme="minorHAnsi" w:cstheme="minorHAnsi" w:hAnsiTheme="minorHAnsi"/>
          <w:b/>
          <w:bCs/>
          <w:sz w:val="26"/>
          <w:szCs w:val="26"/>
        </w:rPr>
        <w:t>Provvedimenti conseguenti alla rilevazione di omissioni e/o imprecisioni, non costituenti falsità, o di false dichiarazioni</w:t>
      </w:r>
      <w:bookmarkEnd w:id="13"/>
    </w:p>
    <w:p>
      <w:pPr>
        <w:pStyle w:val="Normal"/>
        <w:spacing w:before="0" w:after="0"/>
        <w:rPr/>
      </w:pPr>
      <w:r>
        <w:rPr/>
      </w:r>
    </w:p>
    <w:p>
      <w:pPr>
        <w:pStyle w:val="Normal"/>
        <w:spacing w:lineRule="auto" w:line="240" w:before="0" w:after="0"/>
        <w:jc w:val="both"/>
        <w:rPr>
          <w:rFonts w:cs="Calibri" w:cstheme="minorHAnsi"/>
          <w:color w:val="002060"/>
          <w:sz w:val="24"/>
          <w:szCs w:val="24"/>
        </w:rPr>
      </w:pPr>
      <w:r>
        <w:rPr>
          <w:rFonts w:cs="Calibri" w:cstheme="minorHAnsi"/>
          <w:color w:val="002060"/>
          <w:sz w:val="24"/>
          <w:szCs w:val="24"/>
        </w:rPr>
        <w:t>Dichiarazioni sostitutive irregolari o incomplete</w:t>
      </w:r>
    </w:p>
    <w:p>
      <w:pPr>
        <w:pStyle w:val="Normal"/>
        <w:spacing w:lineRule="auto" w:line="240" w:before="57" w:after="57"/>
        <w:jc w:val="both"/>
        <w:rPr>
          <w:rFonts w:cs="Calibri" w:cstheme="minorHAnsi"/>
          <w:sz w:val="24"/>
          <w:szCs w:val="24"/>
        </w:rPr>
      </w:pPr>
      <w:r>
        <w:rPr>
          <w:rFonts w:cs="Calibri" w:cstheme="minorHAnsi"/>
          <w:sz w:val="24"/>
          <w:szCs w:val="24"/>
        </w:rPr>
        <w:t>Qualora, nel corso dei controlli, vengano rilevati errori e/o imprecisioni, comunque non costituenti falsità, si inviteranno i soggetti interessati ad integrare e/o rettificare le dichiarazioni ai fini della erogazione del contributo.</w:t>
      </w:r>
    </w:p>
    <w:p>
      <w:pPr>
        <w:pStyle w:val="Normal"/>
        <w:spacing w:lineRule="auto" w:line="240" w:before="0" w:after="0"/>
        <w:jc w:val="both"/>
        <w:rPr>
          <w:rFonts w:cs="Calibri" w:cstheme="minorHAnsi"/>
          <w:sz w:val="24"/>
          <w:szCs w:val="24"/>
        </w:rPr>
      </w:pPr>
      <w:r>
        <w:rPr>
          <w:rFonts w:cs="Calibri" w:cstheme="minorHAnsi"/>
          <w:sz w:val="24"/>
          <w:szCs w:val="24"/>
        </w:rPr>
      </w:r>
    </w:p>
    <w:p>
      <w:pPr>
        <w:pStyle w:val="Normal"/>
        <w:spacing w:lineRule="auto" w:line="240" w:before="0" w:after="0"/>
        <w:jc w:val="both"/>
        <w:rPr>
          <w:rFonts w:cs="Calibri" w:cstheme="minorHAnsi"/>
          <w:color w:val="002060"/>
          <w:sz w:val="24"/>
          <w:szCs w:val="24"/>
        </w:rPr>
      </w:pPr>
      <w:r>
        <w:rPr>
          <w:rFonts w:cs="Calibri" w:cstheme="minorHAnsi"/>
          <w:color w:val="002060"/>
          <w:sz w:val="24"/>
          <w:szCs w:val="24"/>
        </w:rPr>
        <w:t>Dichiarazioni sostitutive non veritiere</w:t>
      </w:r>
    </w:p>
    <w:p>
      <w:pPr>
        <w:pStyle w:val="Normal"/>
        <w:spacing w:lineRule="auto" w:line="240" w:before="57" w:after="57"/>
        <w:jc w:val="both"/>
        <w:rPr>
          <w:rFonts w:cs="Calibri" w:cstheme="minorHAnsi"/>
          <w:sz w:val="24"/>
          <w:szCs w:val="24"/>
        </w:rPr>
      </w:pPr>
      <w:r>
        <w:rPr>
          <w:rFonts w:cs="Calibri" w:cstheme="minorHAnsi"/>
          <w:sz w:val="24"/>
          <w:szCs w:val="24"/>
        </w:rPr>
        <w:t>Se dal controllo delle dichiarazioni sostitutive emergono falsità, l’ufficio deve darne immediata comunicazione verbale al dirigente del servizio, il quale inoltrerà gli atti contenenti le presunte false dichiarazioni all’Autorità giudiziaria, indicando le generalità del dichiarante.</w:t>
      </w:r>
    </w:p>
    <w:p>
      <w:pPr>
        <w:pStyle w:val="ListParagraph"/>
        <w:spacing w:before="0" w:after="160"/>
        <w:ind w:left="0" w:hanging="0"/>
        <w:contextualSpacing/>
        <w:jc w:val="both"/>
        <w:rPr/>
      </w:pPr>
      <w:r>
        <w:rPr/>
      </w:r>
    </w:p>
    <w:sectPr>
      <w:headerReference w:type="default" r:id="rId4"/>
      <w:footerReference w:type="default" r:id="rId5"/>
      <w:type w:val="nextPage"/>
      <w:pgSz w:w="11906" w:h="16838"/>
      <w:pgMar w:left="1134" w:right="1134" w:header="0" w:top="1789"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 w:name="Futura Std Book">
    <w:charset w:val="00"/>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right"/>
      <w:rPr>
        <w:sz w:val="18"/>
        <w:szCs w:val="18"/>
      </w:rPr>
    </w:pPr>
    <w:r>
      <w:rPr/>
      <w:t xml:space="preserve">                                              </w:t>
    </w:r>
    <w:r>
      <w:rPr>
        <w:sz w:val="18"/>
        <w:szCs w:val="18"/>
      </w:rPr>
      <w:fldChar w:fldCharType="begin"/>
    </w:r>
    <w:r>
      <w:rPr>
        <w:sz w:val="18"/>
        <w:szCs w:val="18"/>
      </w:rPr>
      <w:instrText> PAGE </w:instrText>
    </w:r>
    <w:r>
      <w:rPr>
        <w:sz w:val="18"/>
        <w:szCs w:val="18"/>
      </w:rPr>
      <w:fldChar w:fldCharType="separate"/>
    </w:r>
    <w:r>
      <w:rPr>
        <w:sz w:val="18"/>
        <w:szCs w:val="18"/>
      </w:rPr>
      <w:t>8</w:t>
    </w:r>
    <w:r>
      <w:rPr>
        <w:sz w:val="18"/>
        <w:szCs w:val="18"/>
      </w:rPr>
      <w:fldChar w:fldCharType="end"/>
    </w:r>
  </w:p>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rFonts w:cs="Calibri"/>
        <w:szCs w:val="24"/>
      </w:rPr>
    </w:pPr>
    <w:r>
      <w:rPr>
        <w:rFonts w:cs="Calibri"/>
        <w:szCs w:val="24"/>
      </w:rPr>
    </w:r>
  </w:p>
  <w:p>
    <w:pPr>
      <w:pStyle w:val="Intestazione"/>
      <w:ind w:left="-426" w:right="-110" w:hanging="0"/>
      <w:jc w:val="center"/>
      <w:rPr>
        <w:rFonts w:cs="Calibri"/>
        <w:sz w:val="16"/>
        <w:szCs w:val="24"/>
      </w:rPr>
    </w:pPr>
    <w:r>
      <w:rPr/>
      <w:drawing>
        <wp:inline distT="0" distB="0" distL="0" distR="0">
          <wp:extent cx="6029960" cy="882650"/>
          <wp:effectExtent l="0" t="0" r="0" b="0"/>
          <wp:docPr id="3" name="Immagin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6" descr=""/>
                  <pic:cNvPicPr>
                    <a:picLocks noChangeAspect="1" noChangeArrowheads="1"/>
                  </pic:cNvPicPr>
                </pic:nvPicPr>
                <pic:blipFill>
                  <a:blip r:embed="rId1"/>
                  <a:stretch>
                    <a:fillRect/>
                  </a:stretch>
                </pic:blipFill>
                <pic:spPr bwMode="auto">
                  <a:xfrm>
                    <a:off x="0" y="0"/>
                    <a:ext cx="6029960" cy="882650"/>
                  </a:xfrm>
                  <a:prstGeom prst="rect">
                    <a:avLst/>
                  </a:prstGeom>
                </pic:spPr>
              </pic:pic>
            </a:graphicData>
          </a:graphic>
        </wp:inline>
      </w:drawing>
    </w:r>
  </w:p>
  <w:p>
    <w:pPr>
      <w:pStyle w:val="Intestazione"/>
      <w:ind w:left="-426" w:right="-110" w:hanging="0"/>
      <w:jc w:val="center"/>
      <w:rPr>
        <w:rFonts w:cs="Calibri"/>
        <w:sz w:val="16"/>
        <w:szCs w:val="24"/>
      </w:rPr>
    </w:pPr>
    <w:r>
      <w:rPr>
        <w:rFonts w:cs="Calibri"/>
        <w:sz w:val="16"/>
        <w:szCs w:val="24"/>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6"/>
        <w:b/>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720" w:hanging="360"/>
      </w:pPr>
      <w:rPr>
        <w:rFonts w:ascii="Calibri" w:hAnsi="Calibri" w:cs="Calibri" w:hint="default"/>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1">
    <w:name w:val="Heading 1"/>
    <w:basedOn w:val="Normal"/>
    <w:next w:val="Normal"/>
    <w:link w:val="Titolo1Carattere"/>
    <w:uiPriority w:val="9"/>
    <w:qFormat/>
    <w:rsid w:val="00f64b51"/>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character" w:styleId="DefaultParagraphFont" w:default="1">
    <w:name w:val="Default Paragraph Font"/>
    <w:uiPriority w:val="1"/>
    <w:semiHidden/>
    <w:unhideWhenUsed/>
    <w:qFormat/>
    <w:rPr/>
  </w:style>
  <w:style w:type="character" w:styleId="Enfasi" w:customStyle="1">
    <w:name w:val="Enfasi"/>
    <w:basedOn w:val="DefaultParagraphFont"/>
    <w:uiPriority w:val="20"/>
    <w:qFormat/>
    <w:rsid w:val="00420674"/>
    <w:rPr>
      <w:i/>
      <w:iCs/>
    </w:rPr>
  </w:style>
  <w:style w:type="character" w:styleId="Titolo1Carattere" w:customStyle="1">
    <w:name w:val="Titolo 1 Carattere"/>
    <w:basedOn w:val="DefaultParagraphFont"/>
    <w:link w:val="Titolo1"/>
    <w:uiPriority w:val="9"/>
    <w:qFormat/>
    <w:rsid w:val="00f64b51"/>
    <w:rPr>
      <w:rFonts w:ascii="Calibri Light" w:hAnsi="Calibri Light" w:eastAsia="" w:cs="" w:asciiTheme="majorHAnsi" w:cstheme="majorBidi" w:eastAsiaTheme="majorEastAsia" w:hAnsiTheme="majorHAnsi"/>
      <w:color w:val="2F5496" w:themeColor="accent1" w:themeShade="bf"/>
      <w:sz w:val="32"/>
      <w:szCs w:val="32"/>
    </w:rPr>
  </w:style>
  <w:style w:type="character" w:styleId="Strong">
    <w:name w:val="Strong"/>
    <w:basedOn w:val="DefaultParagraphFont"/>
    <w:uiPriority w:val="22"/>
    <w:qFormat/>
    <w:rsid w:val="00fe00e7"/>
    <w:rPr>
      <w:b/>
      <w:bCs/>
    </w:rPr>
  </w:style>
  <w:style w:type="character" w:styleId="CollegamentoInternet" w:customStyle="1">
    <w:name w:val="Collegamento Internet"/>
    <w:basedOn w:val="DefaultParagraphFont"/>
    <w:uiPriority w:val="99"/>
    <w:unhideWhenUsed/>
    <w:rsid w:val="00134bfc"/>
    <w:rPr>
      <w:color w:val="0563C1" w:themeColor="hyperlink"/>
      <w:u w:val="single"/>
    </w:rPr>
  </w:style>
  <w:style w:type="character" w:styleId="Corpodeltesto" w:customStyle="1">
    <w:name w:val="Corpo del testo_"/>
    <w:basedOn w:val="DefaultParagraphFont"/>
    <w:link w:val="Corpodeltesto4"/>
    <w:uiPriority w:val="99"/>
    <w:qFormat/>
    <w:rsid w:val="00bd61a5"/>
    <w:rPr>
      <w:rFonts w:ascii="Arial" w:hAnsi="Arial" w:cs="Arial"/>
      <w:shd w:fill="FFFFFF" w:val="clear"/>
    </w:rPr>
  </w:style>
  <w:style w:type="character" w:styleId="TestofumettoCarattere" w:customStyle="1">
    <w:name w:val="Testo fumetto Carattere"/>
    <w:basedOn w:val="DefaultParagraphFont"/>
    <w:link w:val="Testofumetto"/>
    <w:uiPriority w:val="99"/>
    <w:semiHidden/>
    <w:qFormat/>
    <w:rsid w:val="008d1953"/>
    <w:rPr>
      <w:rFonts w:ascii="Segoe UI" w:hAnsi="Segoe UI" w:cs="Segoe UI"/>
      <w:sz w:val="18"/>
      <w:szCs w:val="18"/>
    </w:rPr>
  </w:style>
  <w:style w:type="character" w:styleId="Annotationreference">
    <w:name w:val="annotation reference"/>
    <w:basedOn w:val="DefaultParagraphFont"/>
    <w:uiPriority w:val="99"/>
    <w:semiHidden/>
    <w:unhideWhenUsed/>
    <w:qFormat/>
    <w:rsid w:val="008d1953"/>
    <w:rPr>
      <w:sz w:val="16"/>
      <w:szCs w:val="16"/>
    </w:rPr>
  </w:style>
  <w:style w:type="character" w:styleId="TestocommentoCarattere" w:customStyle="1">
    <w:name w:val="Testo commento Carattere"/>
    <w:basedOn w:val="DefaultParagraphFont"/>
    <w:link w:val="Testocommento"/>
    <w:uiPriority w:val="99"/>
    <w:semiHidden/>
    <w:qFormat/>
    <w:rsid w:val="008d1953"/>
    <w:rPr>
      <w:sz w:val="20"/>
      <w:szCs w:val="20"/>
    </w:rPr>
  </w:style>
  <w:style w:type="character" w:styleId="SoggettocommentoCarattere" w:customStyle="1">
    <w:name w:val="Soggetto commento Carattere"/>
    <w:basedOn w:val="TestocommentoCarattere"/>
    <w:link w:val="Soggettocommento"/>
    <w:uiPriority w:val="99"/>
    <w:semiHidden/>
    <w:qFormat/>
    <w:rsid w:val="008d1953"/>
    <w:rPr>
      <w:b/>
      <w:bCs/>
      <w:sz w:val="20"/>
      <w:szCs w:val="20"/>
    </w:rPr>
  </w:style>
  <w:style w:type="character" w:styleId="IntestazioneCarattere" w:customStyle="1">
    <w:name w:val="Intestazione Carattere"/>
    <w:basedOn w:val="DefaultParagraphFont"/>
    <w:link w:val="Intestazione"/>
    <w:uiPriority w:val="99"/>
    <w:qFormat/>
    <w:rsid w:val="009363d1"/>
    <w:rPr/>
  </w:style>
  <w:style w:type="character" w:styleId="PidipaginaCarattere" w:customStyle="1">
    <w:name w:val="Piè di pagina Carattere"/>
    <w:basedOn w:val="DefaultParagraphFont"/>
    <w:link w:val="Pidipagina"/>
    <w:uiPriority w:val="99"/>
    <w:qFormat/>
    <w:rsid w:val="009363d1"/>
    <w:rPr/>
  </w:style>
  <w:style w:type="character" w:styleId="Menzionenonrisolta1" w:customStyle="1">
    <w:name w:val="Menzione non risolta1"/>
    <w:basedOn w:val="DefaultParagraphFont"/>
    <w:uiPriority w:val="99"/>
    <w:semiHidden/>
    <w:unhideWhenUsed/>
    <w:qFormat/>
    <w:rsid w:val="00834866"/>
    <w:rPr>
      <w:color w:val="605E5C"/>
      <w:shd w:fill="E1DFDD" w:val="clear"/>
    </w:rPr>
  </w:style>
  <w:style w:type="character" w:styleId="Saltoaindice" w:customStyle="1">
    <w:name w:val="Salto a indice"/>
    <w:qFormat/>
    <w:rPr/>
  </w:style>
  <w:style w:type="paragraph" w:styleId="Titolo">
    <w:name w:val="Titolo"/>
    <w:basedOn w:val="Normal"/>
    <w:next w:val="Corpodeltesto1"/>
    <w:qFormat/>
    <w:pPr>
      <w:keepNext w:val="true"/>
      <w:spacing w:before="240" w:after="120"/>
    </w:pPr>
    <w:rPr>
      <w:rFonts w:ascii="Liberation Sans" w:hAnsi="Liberation Sans" w:eastAsia="Microsoft YaHei" w:cs="Arial"/>
      <w:sz w:val="28"/>
      <w:szCs w:val="28"/>
    </w:rPr>
  </w:style>
  <w:style w:type="paragraph" w:styleId="Corpodeltesto1">
    <w:name w:val="Body Text"/>
    <w:basedOn w:val="Normal"/>
    <w:pPr>
      <w:spacing w:lineRule="auto" w:line="276" w:before="0" w:after="140"/>
    </w:pPr>
    <w:rPr/>
  </w:style>
  <w:style w:type="paragraph" w:styleId="Elenco">
    <w:name w:val="List"/>
    <w:basedOn w:val="Corpodeltesto1"/>
    <w:pPr/>
    <w:rPr>
      <w:rFonts w:cs="Mangal"/>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Mangal"/>
    </w:rPr>
  </w:style>
  <w:style w:type="paragraph" w:styleId="Titoloprincipale">
    <w:name w:val="Title"/>
    <w:basedOn w:val="Normal"/>
    <w:next w:val="Corpodeltesto1"/>
    <w:qFormat/>
    <w:pPr>
      <w:keepNext w:val="true"/>
      <w:spacing w:before="240" w:after="120"/>
    </w:pPr>
    <w:rPr>
      <w:rFonts w:ascii="Liberation Sans" w:hAnsi="Liberation Sans" w:eastAsia="Microsoft YaHei" w:cs="Mangal"/>
      <w:sz w:val="28"/>
      <w:szCs w:val="28"/>
    </w:rPr>
  </w:style>
  <w:style w:type="paragraph" w:styleId="Caption">
    <w:name w:val="caption"/>
    <w:basedOn w:val="Normal"/>
    <w:qFormat/>
    <w:pPr>
      <w:suppressLineNumbers/>
      <w:spacing w:before="120" w:after="120"/>
    </w:pPr>
    <w:rPr>
      <w:rFonts w:cs="Mangal"/>
      <w:i/>
      <w:iCs/>
      <w:sz w:val="24"/>
      <w:szCs w:val="24"/>
    </w:rPr>
  </w:style>
  <w:style w:type="paragraph" w:styleId="ListParagraph">
    <w:name w:val="List Paragraph"/>
    <w:basedOn w:val="Normal"/>
    <w:uiPriority w:val="34"/>
    <w:qFormat/>
    <w:rsid w:val="00420674"/>
    <w:pPr>
      <w:spacing w:before="0" w:after="160"/>
      <w:ind w:left="720" w:hanging="0"/>
      <w:contextualSpacing/>
    </w:pPr>
    <w:rPr/>
  </w:style>
  <w:style w:type="paragraph" w:styleId="Grassetto" w:customStyle="1">
    <w:name w:val="grassetto"/>
    <w:basedOn w:val="Normal"/>
    <w:qFormat/>
    <w:rsid w:val="00fe00e7"/>
    <w:pPr>
      <w:spacing w:lineRule="auto" w:line="240" w:beforeAutospacing="1" w:afterAutospacing="1"/>
    </w:pPr>
    <w:rPr>
      <w:rFonts w:ascii="Times New Roman" w:hAnsi="Times New Roman" w:eastAsia="Times New Roman" w:cs="Times New Roman"/>
      <w:sz w:val="24"/>
      <w:szCs w:val="24"/>
      <w:lang w:eastAsia="it-IT"/>
    </w:rPr>
  </w:style>
  <w:style w:type="paragraph" w:styleId="NormalWeb">
    <w:name w:val="Normal (Web)"/>
    <w:basedOn w:val="Normal"/>
    <w:uiPriority w:val="99"/>
    <w:unhideWhenUsed/>
    <w:qFormat/>
    <w:rsid w:val="005e3de5"/>
    <w:pPr>
      <w:spacing w:lineRule="auto" w:line="240" w:beforeAutospacing="1" w:afterAutospacing="1"/>
    </w:pPr>
    <w:rPr>
      <w:rFonts w:ascii="Times New Roman" w:hAnsi="Times New Roman" w:eastAsia="Times New Roman" w:cs="Times New Roman"/>
      <w:sz w:val="24"/>
      <w:szCs w:val="24"/>
      <w:lang w:eastAsia="it-IT"/>
    </w:rPr>
  </w:style>
  <w:style w:type="paragraph" w:styleId="TOCHeading">
    <w:name w:val="TOC Heading"/>
    <w:basedOn w:val="Titolo1"/>
    <w:next w:val="Normal"/>
    <w:uiPriority w:val="39"/>
    <w:unhideWhenUsed/>
    <w:qFormat/>
    <w:rsid w:val="00884eaa"/>
    <w:pPr/>
    <w:rPr>
      <w:lang w:eastAsia="it-IT"/>
    </w:rPr>
  </w:style>
  <w:style w:type="paragraph" w:styleId="Indice1">
    <w:name w:val="TOC 1"/>
    <w:basedOn w:val="Normal"/>
    <w:next w:val="Normal"/>
    <w:autoRedefine/>
    <w:uiPriority w:val="39"/>
    <w:unhideWhenUsed/>
    <w:rsid w:val="00884eaa"/>
    <w:pPr>
      <w:spacing w:before="0" w:after="100"/>
    </w:pPr>
    <w:rPr/>
  </w:style>
  <w:style w:type="paragraph" w:styleId="Revision">
    <w:name w:val="Revision"/>
    <w:uiPriority w:val="99"/>
    <w:semiHidden/>
    <w:qFormat/>
    <w:rsid w:val="008b2a98"/>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Corpodeltesto4" w:customStyle="1">
    <w:name w:val="Corpo del testo4"/>
    <w:basedOn w:val="Normal"/>
    <w:link w:val="Corpodeltesto"/>
    <w:uiPriority w:val="99"/>
    <w:qFormat/>
    <w:rsid w:val="00bd61a5"/>
    <w:pPr>
      <w:shd w:val="clear" w:color="auto" w:fill="FFFFFF"/>
      <w:spacing w:lineRule="exact" w:line="344" w:before="420" w:after="0"/>
      <w:ind w:hanging="380"/>
      <w:jc w:val="both"/>
    </w:pPr>
    <w:rPr>
      <w:rFonts w:ascii="Arial" w:hAnsi="Arial" w:cs="Arial"/>
    </w:rPr>
  </w:style>
  <w:style w:type="paragraph" w:styleId="BalloonText">
    <w:name w:val="Balloon Text"/>
    <w:basedOn w:val="Normal"/>
    <w:link w:val="TestofumettoCarattere"/>
    <w:uiPriority w:val="99"/>
    <w:semiHidden/>
    <w:unhideWhenUsed/>
    <w:qFormat/>
    <w:rsid w:val="008d1953"/>
    <w:pPr>
      <w:spacing w:lineRule="auto" w:line="240" w:before="0" w:after="0"/>
    </w:pPr>
    <w:rPr>
      <w:rFonts w:ascii="Segoe UI" w:hAnsi="Segoe UI" w:cs="Segoe UI"/>
      <w:sz w:val="18"/>
      <w:szCs w:val="18"/>
    </w:rPr>
  </w:style>
  <w:style w:type="paragraph" w:styleId="Annotationtext">
    <w:name w:val="annotation text"/>
    <w:basedOn w:val="Normal"/>
    <w:link w:val="TestocommentoCarattere"/>
    <w:uiPriority w:val="99"/>
    <w:semiHidden/>
    <w:unhideWhenUsed/>
    <w:qFormat/>
    <w:rsid w:val="008d1953"/>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8d1953"/>
    <w:pPr/>
    <w:rPr>
      <w:b/>
      <w:bCs/>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unhideWhenUsed/>
    <w:rsid w:val="009363d1"/>
    <w:pPr>
      <w:tabs>
        <w:tab w:val="clear" w:pos="720"/>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9363d1"/>
    <w:pPr>
      <w:tabs>
        <w:tab w:val="clear" w:pos="720"/>
        <w:tab w:val="center" w:pos="4819" w:leader="none"/>
        <w:tab w:val="right" w:pos="9638" w:leader="none"/>
      </w:tabs>
      <w:spacing w:lineRule="auto" w:line="240" w:before="0" w:after="0"/>
    </w:pPr>
    <w:rPr/>
  </w:style>
  <w:style w:type="paragraph" w:styleId="WWAssesstop1" w:customStyle="1">
    <w:name w:val="WW-Assessto p1"/>
    <w:basedOn w:val="Normal"/>
    <w:next w:val="Normal"/>
    <w:uiPriority w:val="99"/>
    <w:qFormat/>
    <w:rsid w:val="00f75549"/>
    <w:pPr>
      <w:widowControl w:val="false"/>
      <w:spacing w:lineRule="exact" w:line="200" w:before="0" w:after="480"/>
      <w:ind w:left="1701" w:right="1701" w:hanging="0"/>
      <w:jc w:val="center"/>
    </w:pPr>
    <w:rPr>
      <w:rFonts w:ascii="Futura Std Book" w:hAnsi="Futura Std Book" w:eastAsia="Times New Roman" w:cs="Futura Std Book"/>
      <w:caps/>
      <w:kern w:val="2"/>
      <w:sz w:val="16"/>
      <w:szCs w:val="16"/>
      <w:lang w:eastAsia="it-IT"/>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4FFE4-F1DA-44A1-9A78-6EBCE6602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Application>LibreOffice/6.4.4.2$Windows_X86_64 LibreOffice_project/3d775be2011f3886db32dfd395a6a6d1ca2630ff</Application>
  <Pages>8</Pages>
  <Words>1246</Words>
  <Characters>7915</Characters>
  <CharactersWithSpaces>9127</CharactersWithSpaces>
  <Paragraphs>85</Paragraphs>
  <Company>KPMG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2021-11-11T11:04:00Z</dcterms:created>
  <dc:creator>Calciano, Daniela</dc:creator>
  <dc:description/>
  <dc:language>it-IT</dc:language>
  <cp:lastModifiedBy/>
  <dcterms:modified xsi:type="dcterms:W3CDTF">2021-11-18T17:54:11Z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KPMG</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